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</w:p>
    <w:p>
      <w:pPr>
        <w:pStyle w:val="655"/>
        <w:jc w:val="center"/>
        <w:rPr>
          <w:b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внешней проверки годового отчета об итогах исполнения бюджета </w:t>
      </w:r>
      <w:r>
        <w:rPr>
          <w:bCs/>
          <w:sz w:val="28"/>
          <w:szCs w:val="28"/>
          <w:highlight w:val="none"/>
        </w:rPr>
        <w:t xml:space="preserve">муниципального образования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Суховское сельское поселение</w:t>
      </w:r>
      <w:r>
        <w:rPr>
          <w:bCs/>
          <w:sz w:val="28"/>
          <w:szCs w:val="28"/>
        </w:rPr>
        <w:t xml:space="preserve"> </w:t>
        <w:br w:type="textWrapping" w:clear="all"/>
        <w:t xml:space="preserve">Кировского муниципального района Ленинградской области за </w:t>
      </w:r>
      <w:r>
        <w:rPr>
          <w:bCs/>
          <w:sz w:val="28"/>
          <w:szCs w:val="28"/>
        </w:rPr>
        <w:t xml:space="preserve">2025</w:t>
      </w:r>
      <w:r>
        <w:rPr>
          <w:bCs/>
          <w:sz w:val="28"/>
          <w:szCs w:val="28"/>
        </w:rPr>
        <w:t xml:space="preserve"> год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5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г.Кировск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11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03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5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Внешняя проверка годового отчета об исполнении бюджета муниципального образования Суховское сельское поселение Кировского муниципального района Ленинградской области (далее –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</w:rPr>
        <w:t xml:space="preserve">Суховское сельское поселение) за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проведена на основании ст.ст. 157, 264</w:t>
      </w:r>
      <w:r>
        <w:rPr>
          <w:sz w:val="26"/>
          <w:szCs w:val="26"/>
        </w:rPr>
        <w:t xml:space="preserve">.4</w:t>
      </w:r>
      <w:r>
        <w:rPr>
          <w:sz w:val="26"/>
          <w:szCs w:val="26"/>
        </w:rPr>
        <w:t xml:space="preserve"> Бюджетного кодекса Российской Федерации, Положения о контрольно-счетной палате Кировского муниципального района Ленинградской области, утвержденного решением совета депутато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Кировского муниципального района Ленинградской области от 22.06.2022 № 58, и иных актов законодательства Российской Федерации.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В качестве исходных данных для проведения внешней проверки и анализа исполнения бюджета муниципального образования Суховское се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ьское поселение Кировского муниципального района Ленинградской области за отчетный период использованы: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1. Проект решения «Об итогах исполнения бюджета </w:t>
      </w:r>
      <w:r>
        <w:rPr>
          <w:sz w:val="26"/>
          <w:szCs w:val="26"/>
          <w:highlight w:val="none"/>
        </w:rPr>
        <w:t xml:space="preserve">муниципального образования</w:t>
      </w:r>
      <w:r>
        <w:rPr>
          <w:sz w:val="26"/>
          <w:szCs w:val="26"/>
          <w:highlight w:val="none"/>
        </w:rPr>
        <w:t xml:space="preserve"> Суховское сельское поселение Кировского муниципального района Ленинградской </w:t>
      </w:r>
      <w:r>
        <w:rPr>
          <w:sz w:val="26"/>
          <w:szCs w:val="26"/>
          <w:highlight w:val="none"/>
        </w:rPr>
        <w:t xml:space="preserve">о</w:t>
      </w:r>
      <w:r>
        <w:rPr>
          <w:sz w:val="26"/>
          <w:szCs w:val="26"/>
          <w:highlight w:val="none"/>
        </w:rPr>
        <w:t xml:space="preserve">бласти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год» (с приложениями):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Приложение 1 «Показатели исполнения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по кодам видов, подвидов доходов бюджета, классификации операций сектора государственного управления, относящихся к доходам бюдже</w:t>
      </w:r>
      <w:r>
        <w:rPr>
          <w:sz w:val="26"/>
          <w:szCs w:val="26"/>
          <w:highlight w:val="none"/>
        </w:rPr>
        <w:t xml:space="preserve">т</w:t>
      </w:r>
      <w:r>
        <w:rPr>
          <w:sz w:val="26"/>
          <w:szCs w:val="26"/>
          <w:highlight w:val="none"/>
        </w:rPr>
        <w:t xml:space="preserve">а»;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Приложение 2 «Показатели исполнения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по кодам видов, подвидов доходов бюджета, классификации операций сектора государственного управления, относящихся к расходам бюджета»;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Приложение 3 «Показатели исп</w:t>
      </w:r>
      <w:r>
        <w:rPr>
          <w:sz w:val="26"/>
          <w:szCs w:val="26"/>
          <w:highlight w:val="none"/>
        </w:rPr>
        <w:t xml:space="preserve">о</w:t>
      </w:r>
      <w:r>
        <w:rPr>
          <w:sz w:val="26"/>
          <w:szCs w:val="26"/>
          <w:highlight w:val="none"/>
        </w:rPr>
        <w:t xml:space="preserve">лнения расходов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по ведомственной структуре расходов бюджета»;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Приложение 4 «Показатели исполнения расходов бюджета муниципального образования Суховское сельское поселение Кировского муниципального района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Ленинградской области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по разделам и подразделам классификации расходов бюджета»;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12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Приложение 5 «Показатели источников внутреннего финансирования дефицита бюджета </w:t>
      </w:r>
      <w:r>
        <w:rPr>
          <w:sz w:val="26"/>
          <w:szCs w:val="26"/>
          <w:highlight w:val="none"/>
        </w:rPr>
        <w:t xml:space="preserve">муниципального образования</w:t>
      </w:r>
      <w:r>
        <w:rPr>
          <w:sz w:val="26"/>
          <w:szCs w:val="26"/>
          <w:highlight w:val="none"/>
        </w:rPr>
        <w:t xml:space="preserve"> Суховское сельское поселение Кировского муниципального </w:t>
      </w:r>
      <w:r>
        <w:rPr>
          <w:sz w:val="26"/>
          <w:szCs w:val="26"/>
          <w:highlight w:val="none"/>
        </w:rPr>
        <w:t xml:space="preserve">р</w:t>
      </w:r>
      <w:r>
        <w:rPr>
          <w:sz w:val="26"/>
          <w:szCs w:val="26"/>
          <w:highlight w:val="none"/>
        </w:rPr>
        <w:t xml:space="preserve">айона Ленинградской области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по кодам классификации источников финансирования дефицита бюджета».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 Годовой отчет об исполнении бюджета </w:t>
      </w:r>
      <w:r>
        <w:rPr>
          <w:sz w:val="26"/>
          <w:szCs w:val="26"/>
          <w:highlight w:val="none"/>
        </w:rPr>
        <w:t xml:space="preserve">муниципального образования</w:t>
      </w:r>
      <w:r>
        <w:rPr>
          <w:sz w:val="26"/>
          <w:szCs w:val="26"/>
          <w:highlight w:val="none"/>
        </w:rPr>
        <w:t xml:space="preserve"> Суховское сельское поселение Кировского муниципального района Ленинградской облас</w:t>
      </w:r>
      <w:r>
        <w:rPr>
          <w:sz w:val="26"/>
          <w:szCs w:val="26"/>
          <w:highlight w:val="none"/>
        </w:rPr>
        <w:t xml:space="preserve">т</w:t>
      </w:r>
      <w:r>
        <w:rPr>
          <w:sz w:val="26"/>
          <w:szCs w:val="26"/>
          <w:highlight w:val="none"/>
        </w:rPr>
        <w:t xml:space="preserve">и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содержит: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 Отчет об исполнении бюджета по доходам, расходам и источникам финансирования дефицита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(форма 0503127);</w:t>
      </w:r>
      <w:r>
        <w:rPr>
          <w:sz w:val="26"/>
          <w:szCs w:val="26"/>
          <w:highlight w:val="none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Баланс исполнения бюджета о нефинансовых и финансовых активах, обязательств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х МО Суховское сельское поселение на первый и последний день отчетного периода (форма 0503130);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Отчет о финансовых результатах деятельности по кодам классификации операций сектора государственного управления (форма 0503121);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1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(форма 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503160).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проверки и анализа отчета об исполнении бюджета муниципального образования Суховское сельское поселение Кировского муниципального района Ленинградской области оценивались: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соблюдение основных требований Бюджетного кодекса Российск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й Федерации и других нормативных актов;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динамика отдельных финансовых показателей;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выполнения плановых показателей бюджета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года;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структурные изменения показателей бюджета.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Кировского муниципального района Ленинградско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области, действующая на основании Положения о контрольно-счетной палате Кировского муниципального района Ленинградской области, утвержденного решением совета депутатов Кировского муниципального района Ленинградской области от 22.06.2022 № 58, и руководст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уясь: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Главой 25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 Бюджетного кодекса Российской Федерации от 31.07.1998 (с изменениями и дополнениями);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Федеральным законом «Об общих принципах организации местного самоуправления в Российской Федерации» от 06.10.2003 № 131-Ф3 (с изменениями);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Положе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ием о бюджетном процессе в МО Суховское сельское поселение, утвержденным решением совета депутатов от 12.03.2015 № 28 (с изменениями);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Уставом муниципального образования Суховское сельское поселение Кировского муниципального района Ленинградской области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Приказом Министерства финансов Российской Федерации от 28 декабря 2010 года №191н «Об утверждении Инструкции о порядке составления и пред</w:t>
      </w:r>
      <w:r>
        <w:rPr>
          <w:sz w:val="26"/>
          <w:szCs w:val="26"/>
        </w:rPr>
        <w:t xml:space="preserve">ставления годовой, квартальной и месячной отчетности об исполнении бюджетов бюджетной системы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(с изменениями),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Приказом Министерства финансов Российской Федерации от 25 марта 2011 года № 33н «Об утверждении Инструкции о порядке составления, пред</w:t>
      </w:r>
      <w:r>
        <w:rPr>
          <w:sz w:val="26"/>
          <w:szCs w:val="26"/>
        </w:rPr>
        <w:t xml:space="preserve">ставления годовой, квартальной бухгалтерской отчетности государственных (муниципальных) бюджетных и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втономных учреждений» (с изменениями).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669"/>
        <w:ind w:firstLine="709"/>
        <w:spacing w:after="60" w:line="25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 С Т А Н О В И Л А:</w:t>
      </w:r>
      <w:r>
        <w:rPr>
          <w:b/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1. В соответствии с пунктом 5 статьи 264</w:t>
      </w:r>
      <w:r>
        <w:rPr>
          <w:sz w:val="26"/>
          <w:szCs w:val="26"/>
        </w:rPr>
        <w:t xml:space="preserve">.2</w:t>
      </w:r>
      <w:r>
        <w:rPr>
          <w:sz w:val="26"/>
          <w:szCs w:val="26"/>
        </w:rPr>
        <w:t xml:space="preserve"> Бюджетного кодекса Российской Федерации годовые отчеты об исполнении местных бюджетов подлежат утверждению муниципальным правовым актом представительно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о органа муниципального образования – совета депутатов.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2. В соответствии со статьей 264</w:t>
      </w:r>
      <w:r>
        <w:rPr>
          <w:sz w:val="26"/>
          <w:szCs w:val="26"/>
        </w:rPr>
        <w:t xml:space="preserve">.4</w:t>
      </w:r>
      <w:r>
        <w:rPr>
          <w:sz w:val="26"/>
          <w:szCs w:val="26"/>
        </w:rPr>
        <w:t xml:space="preserve"> Бюджетного кодекса Российской Федерации годовой отчет об исполнении бюджета до его рассмотрения в представительном органе подлежит внешней проверке, которая включает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внешнюю проверку бюджетной отчетности главных администраторов и распорядителей бюджетных средств и подготовку заключения на годовой отчет об исполнении бюджета.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Местная администрация представляет отчет об исполнении местного бюджета для подготовки заключе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Орган муниципального финансового контроля готовит заключение на отчет об исполнении бюджета н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основании данных внешней проверки годовой бюджетной отчетности главных администраторов и распорядителей бюджетных средств.</w:t>
      </w:r>
      <w:r>
        <w:rPr>
          <w:sz w:val="26"/>
          <w:szCs w:val="26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Заключение на годовой отчет об исполнении бюджета представляется органом муниципального финансового контроля в представительный орг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н с одновременным направлением в местную администрацию.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Решением совета депутатов муниципального образования Суховское сельское поселение от 1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.12.202</w:t>
      </w:r>
      <w:r>
        <w:rPr>
          <w:sz w:val="26"/>
          <w:szCs w:val="26"/>
        </w:rPr>
        <w:t xml:space="preserve">4 № 16</w:t>
      </w:r>
      <w:r>
        <w:rPr>
          <w:sz w:val="26"/>
          <w:szCs w:val="26"/>
        </w:rPr>
        <w:t xml:space="preserve"> «О бюджете муниципального образования Суховское сельское поселение Кировского муниципального район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Ленинградской области 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 и на плановый период 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и 202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 годов» бюджет утвержден по доходам </w:t>
        <w:br w:type="textWrapping" w:clear="all"/>
        <w:t xml:space="preserve">в сумме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22191,1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25807,6 9) тыс. руб., по расходам в сумме </w:t>
      </w:r>
      <w:r>
        <w:rPr>
          <w:sz w:val="26"/>
          <w:szCs w:val="26"/>
        </w:rPr>
        <w:t xml:space="preserve">22911,5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25807,6) тыс. руб., с дефицитом в сумме </w:t>
      </w:r>
      <w:r>
        <w:rPr>
          <w:sz w:val="26"/>
          <w:szCs w:val="26"/>
        </w:rPr>
        <w:t xml:space="preserve">720,4</w:t>
      </w:r>
      <w:r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025</w:t>
      </w:r>
      <w:r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да в доходную и расходную части бюджета решениями совета депутатов вносились изменения.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Проектом решения</w:t>
      </w:r>
      <w:r>
        <w:rPr>
          <w:sz w:val="26"/>
          <w:szCs w:val="26"/>
          <w:highlight w:val="none"/>
        </w:rPr>
        <w:t xml:space="preserve"> совета депутатов МО Суховское сельское поселение «Об итогах исполнения бюджета муниципального образования Суховское сельское п</w:t>
      </w:r>
      <w:r>
        <w:rPr>
          <w:sz w:val="26"/>
          <w:szCs w:val="26"/>
          <w:highlight w:val="none"/>
        </w:rPr>
        <w:t xml:space="preserve">о</w:t>
      </w:r>
      <w:r>
        <w:rPr>
          <w:sz w:val="26"/>
          <w:szCs w:val="26"/>
          <w:highlight w:val="none"/>
        </w:rPr>
        <w:t xml:space="preserve">селение Кировского муниципального района Ленинградской области на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год» бюджет предлагается утвердить по доходам в сумме </w:t>
      </w:r>
      <w:r>
        <w:rPr>
          <w:sz w:val="26"/>
          <w:szCs w:val="26"/>
          <w:highlight w:val="none"/>
        </w:rPr>
        <w:t xml:space="preserve">52754,9</w:t>
      </w:r>
      <w:r>
        <w:rPr>
          <w:sz w:val="26"/>
          <w:szCs w:val="26"/>
          <w:highlight w:val="none"/>
        </w:rPr>
        <w:t xml:space="preserve"> (2024г.-</w:t>
      </w:r>
      <w:r>
        <w:rPr>
          <w:sz w:val="26"/>
          <w:szCs w:val="26"/>
          <w:highlight w:val="none"/>
        </w:rPr>
        <w:t xml:space="preserve">46457,4) тыс. руб., по расходам в сумме </w:t>
      </w:r>
      <w:r>
        <w:rPr>
          <w:sz w:val="26"/>
          <w:szCs w:val="26"/>
          <w:highlight w:val="none"/>
        </w:rPr>
        <w:t xml:space="preserve">56360,5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47008,0) тыс. руб., </w:t>
        <w:br w:type="textWrapping" w:clear="all"/>
        <w:t xml:space="preserve">с дефицитом в сумме </w:t>
      </w:r>
      <w:r>
        <w:rPr>
          <w:sz w:val="26"/>
          <w:szCs w:val="26"/>
          <w:highlight w:val="none"/>
        </w:rPr>
        <w:t xml:space="preserve">3605</w:t>
      </w:r>
      <w:r>
        <w:rPr>
          <w:sz w:val="26"/>
          <w:szCs w:val="26"/>
          <w:highlight w:val="none"/>
        </w:rPr>
        <w:t xml:space="preserve">,6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тыс. руб.</w:t>
      </w:r>
      <w:r>
        <w:rPr>
          <w:sz w:val="26"/>
          <w:szCs w:val="26"/>
          <w:highlight w:val="none"/>
        </w:rPr>
      </w:r>
    </w:p>
    <w:p>
      <w:pPr>
        <w:pStyle w:val="655"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Общие итоги исполнения бюджета за </w:t>
      </w:r>
      <w:r>
        <w:rPr>
          <w:b/>
          <w:sz w:val="26"/>
          <w:szCs w:val="26"/>
        </w:rPr>
        <w:t xml:space="preserve">2025</w:t>
      </w:r>
      <w:r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</w:r>
    </w:p>
    <w:p>
      <w:pPr>
        <w:pStyle w:val="655"/>
        <w:jc w:val="center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83" w:type="dxa"/>
        <w:tblInd w:w="9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22"/>
        <w:gridCol w:w="1476"/>
        <w:gridCol w:w="1155"/>
        <w:gridCol w:w="1260"/>
        <w:gridCol w:w="1155"/>
        <w:gridCol w:w="1215"/>
      </w:tblGrid>
      <w:tr>
        <w:tblPrEx/>
        <w:trPr>
          <w:trHeight w:val="1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3422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доходного источника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1476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Годовой план </w:t>
            </w:r>
            <w:r>
              <w:rPr>
                <w:b/>
                <w:bCs/>
              </w:rPr>
              <w:t xml:space="preserve">2025</w:t>
            </w:r>
            <w:r>
              <w:rPr>
                <w:b/>
                <w:bCs/>
              </w:rPr>
              <w:t xml:space="preserve"> г.                (с измене-ниями), </w:t>
              <w:br w:type="textWrapping" w:clear="all"/>
              <w:t xml:space="preserve">тыс. руб.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 </w:t>
            </w:r>
            <w:r>
              <w:rPr>
                <w:b/>
                <w:bCs/>
              </w:rPr>
              <w:t xml:space="preserve">2025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тыс. руб.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1260" w:type="dxa"/>
            <w:vAlign w:val="bottom"/>
            <w:textDirection w:val="lrTb"/>
            <w:noWrap/>
          </w:tcPr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испол-нения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факта к плану 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2025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тыс. руб.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 202</w:t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тыс. руб.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8" w:type="dxa"/>
              <w:top w:w="0" w:type="dxa"/>
              <w:right w:w="48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 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  <w:t xml:space="preserve">025</w:t>
            </w:r>
            <w:r>
              <w:rPr>
                <w:b/>
                <w:bCs/>
              </w:rPr>
              <w:t xml:space="preserve"> г. в % к 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</w:r>
          </w:p>
          <w:p>
            <w:pPr>
              <w:pStyle w:val="655"/>
              <w:ind w:firstLine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тыс. руб.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</w:pPr>
            <w:r>
              <w:t xml:space="preserve">6</w:t>
            </w:r>
            <w:r/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center"/>
            <w:textDirection w:val="lrTb"/>
            <w:noWrap/>
          </w:tcPr>
          <w:p>
            <w:pPr>
              <w:pStyle w:val="655"/>
              <w:ind w:firstLine="92"/>
              <w:rPr>
                <w:bCs/>
              </w:rPr>
            </w:pPr>
            <w:r>
              <w:rPr>
                <w:bCs/>
              </w:rPr>
              <w:t xml:space="preserve">Доходы (налоговые и неналоговые)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10567,0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17022,6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161,09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9771,9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bottom"/>
            <w:textDirection w:val="lrTb"/>
            <w:noWrap/>
          </w:tcPr>
          <w:p>
            <w:pPr>
              <w:pStyle w:val="655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174,20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rPr>
                <w:bCs/>
              </w:rPr>
            </w:pPr>
            <w:r>
              <w:rPr>
                <w:bCs/>
              </w:rPr>
              <w:t xml:space="preserve">Безвозмездные поступления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42187,9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42180,1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99,98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36685,5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bottom"/>
            <w:textDirection w:val="lrTb"/>
            <w:noWrap/>
          </w:tcPr>
          <w:p>
            <w:pPr>
              <w:pStyle w:val="655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114,98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rPr>
                <w:bCs/>
              </w:rPr>
            </w:pPr>
            <w:r>
              <w:rPr>
                <w:bCs/>
              </w:rPr>
              <w:t xml:space="preserve">Всего доходов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52754,9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59202,7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112,22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46457,4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bottom"/>
            <w:textDirection w:val="lrTb"/>
            <w:noWrap/>
          </w:tcPr>
          <w:p>
            <w:pPr>
              <w:pStyle w:val="655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127,43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rPr>
                <w:bCs/>
              </w:rPr>
            </w:pPr>
            <w:r>
              <w:rPr>
                <w:bCs/>
              </w:rPr>
              <w:t xml:space="preserve">Всего расходов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56360,5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155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52773,05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93,6</w:t>
            </w: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bCs/>
              </w:rPr>
            </w:pPr>
            <w:r>
              <w:rPr>
                <w:bCs/>
              </w:rPr>
              <w:t xml:space="preserve">47008,0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bottom"/>
            <w:textDirection w:val="lrTb"/>
            <w:noWrap/>
          </w:tcPr>
          <w:p>
            <w:pPr>
              <w:pStyle w:val="655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112,26</w:t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rPr>
                <w:bCs/>
              </w:rPr>
            </w:pPr>
            <w:r>
              <w:rPr>
                <w:bCs/>
              </w:rPr>
              <w:t xml:space="preserve">Дефицит (профицит) бюджета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6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3605,6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  <w:rPr>
                <w:bCs/>
              </w:rPr>
            </w:pPr>
            <w:r>
              <w:rPr>
                <w:bCs/>
              </w:rPr>
              <w:t xml:space="preserve">6429,65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  <w:rPr>
                <w:bCs/>
              </w:rPr>
            </w:pPr>
            <w:r>
              <w:rPr>
                <w:bCs/>
              </w:rPr>
              <w:t xml:space="preserve">х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55"/>
              <w:ind w:firstLine="92"/>
              <w:jc w:val="center"/>
              <w:rPr>
                <w:bCs/>
              </w:rPr>
            </w:pPr>
            <w:r>
              <w:rPr>
                <w:bCs/>
              </w:rPr>
              <w:t xml:space="preserve">-550,6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center"/>
            <w:textDirection w:val="lrTb"/>
            <w:noWrap/>
          </w:tcPr>
          <w:p>
            <w:pPr>
              <w:pStyle w:val="655"/>
              <w:ind w:firstLine="92"/>
              <w:jc w:val="center"/>
              <w:rPr>
                <w:bCs/>
              </w:rPr>
            </w:pPr>
            <w:r>
              <w:rPr>
                <w:bCs/>
              </w:rPr>
              <w:t xml:space="preserve">х</w:t>
            </w:r>
            <w:r>
              <w:rPr>
                <w:bCs/>
              </w:rPr>
            </w:r>
          </w:p>
        </w:tc>
      </w:tr>
    </w:tbl>
    <w:p>
      <w:pPr>
        <w:pStyle w:val="65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Проведен анализ следующих финансовых показателей бюджета МО Суховское сельское поселение:</w:t>
      </w:r>
      <w:r>
        <w:rPr>
          <w:sz w:val="26"/>
          <w:szCs w:val="26"/>
        </w:rPr>
      </w:r>
    </w:p>
    <w:p>
      <w:pPr>
        <w:pStyle w:val="655"/>
        <w:ind w:firstLine="709"/>
        <w:jc w:val="center"/>
        <w:spacing w:after="60" w:line="252" w:lineRule="auto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Исполнение доходной части</w:t>
      </w:r>
      <w:r>
        <w:rPr>
          <w:b/>
          <w:sz w:val="26"/>
          <w:szCs w:val="26"/>
          <w:highlight w:val="none"/>
        </w:rPr>
        <w:t xml:space="preserve"> бюджета </w:t>
      </w:r>
      <w:r>
        <w:rPr>
          <w:b/>
          <w:sz w:val="26"/>
          <w:szCs w:val="26"/>
          <w:highlight w:val="none"/>
        </w:rPr>
        <w:t xml:space="preserve">МО</w:t>
      </w:r>
      <w:r>
        <w:rPr>
          <w:b/>
          <w:sz w:val="26"/>
          <w:szCs w:val="26"/>
          <w:highlight w:val="none"/>
        </w:rPr>
        <w:t xml:space="preserve"> Суховское сельское поселение</w:t>
      </w:r>
      <w:r>
        <w:rPr>
          <w:b/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 в бюд</w:t>
      </w:r>
      <w:r>
        <w:rPr>
          <w:sz w:val="26"/>
          <w:szCs w:val="26"/>
          <w:highlight w:val="none"/>
        </w:rPr>
        <w:t xml:space="preserve">жет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</w:t>
      </w:r>
      <w:r>
        <w:rPr>
          <w:sz w:val="26"/>
          <w:szCs w:val="26"/>
          <w:highlight w:val="none"/>
        </w:rPr>
        <w:t xml:space="preserve">у</w:t>
      </w:r>
      <w:r>
        <w:rPr>
          <w:sz w:val="26"/>
          <w:szCs w:val="26"/>
          <w:highlight w:val="none"/>
        </w:rPr>
        <w:t xml:space="preserve">ховское сельское поселение поступило доходов на сумму </w:t>
      </w:r>
      <w:r>
        <w:rPr>
          <w:sz w:val="26"/>
          <w:szCs w:val="26"/>
          <w:highlight w:val="none"/>
        </w:rPr>
        <w:t xml:space="preserve">59202,7 (2024г</w:t>
      </w:r>
      <w:r>
        <w:rPr>
          <w:sz w:val="26"/>
          <w:szCs w:val="26"/>
          <w:highlight w:val="none"/>
        </w:rPr>
        <w:t xml:space="preserve">-</w:t>
      </w:r>
      <w:r>
        <w:rPr>
          <w:sz w:val="26"/>
          <w:szCs w:val="26"/>
          <w:highlight w:val="none"/>
        </w:rPr>
        <w:t xml:space="preserve">46457,4</w:t>
      </w:r>
      <w:r>
        <w:rPr>
          <w:sz w:val="26"/>
          <w:szCs w:val="26"/>
          <w:highlight w:val="none"/>
        </w:rPr>
        <w:t xml:space="preserve">) тыс. руб., что составляет </w:t>
      </w:r>
      <w:r>
        <w:rPr>
          <w:sz w:val="26"/>
          <w:szCs w:val="26"/>
          <w:highlight w:val="none"/>
        </w:rPr>
        <w:t xml:space="preserve">112,22</w:t>
      </w:r>
      <w:r>
        <w:rPr>
          <w:sz w:val="26"/>
          <w:szCs w:val="26"/>
          <w:highlight w:val="none"/>
        </w:rPr>
        <w:t xml:space="preserve"> % от плановых назначений </w:t>
      </w:r>
      <w:r>
        <w:rPr>
          <w:sz w:val="26"/>
          <w:szCs w:val="26"/>
          <w:highlight w:val="none"/>
        </w:rPr>
        <w:t xml:space="preserve">52754,9 (2024г.-46866,5</w:t>
      </w:r>
      <w:r>
        <w:rPr>
          <w:sz w:val="26"/>
          <w:szCs w:val="26"/>
          <w:highlight w:val="none"/>
        </w:rPr>
        <w:t xml:space="preserve">) тыс. руб.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Налоговые и неналоговые доходы в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году по плану составили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10567,0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10980,</w:t>
      </w:r>
      <w:r>
        <w:rPr>
          <w:sz w:val="26"/>
          <w:szCs w:val="26"/>
          <w:highlight w:val="none"/>
        </w:rPr>
        <w:t xml:space="preserve">7</w:t>
      </w:r>
      <w:r>
        <w:rPr>
          <w:sz w:val="26"/>
          <w:szCs w:val="26"/>
          <w:highlight w:val="none"/>
        </w:rPr>
        <w:t xml:space="preserve">) тыс. руб., по факту в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году</w:t>
      </w:r>
      <w:r>
        <w:rPr>
          <w:sz w:val="26"/>
          <w:szCs w:val="26"/>
          <w:highlight w:val="none"/>
        </w:rPr>
        <w:t xml:space="preserve"> 17022,6 (2024г.-</w:t>
      </w:r>
      <w:r>
        <w:rPr>
          <w:sz w:val="26"/>
          <w:szCs w:val="26"/>
          <w:highlight w:val="none"/>
        </w:rPr>
        <w:t xml:space="preserve">9771,9) тыс. руб. или </w:t>
      </w:r>
      <w:r>
        <w:rPr>
          <w:sz w:val="26"/>
          <w:szCs w:val="26"/>
          <w:highlight w:val="none"/>
        </w:rPr>
        <w:t xml:space="preserve">161,09</w:t>
      </w:r>
      <w:r>
        <w:rPr>
          <w:sz w:val="26"/>
          <w:szCs w:val="26"/>
          <w:highlight w:val="none"/>
        </w:rPr>
        <w:t xml:space="preserve"> % к плану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года, что больше показателей прошлого года на </w:t>
      </w:r>
      <w:r>
        <w:rPr>
          <w:sz w:val="26"/>
          <w:szCs w:val="26"/>
          <w:highlight w:val="none"/>
        </w:rPr>
        <w:t xml:space="preserve">7250,7</w:t>
      </w:r>
      <w:r>
        <w:rPr>
          <w:sz w:val="26"/>
          <w:szCs w:val="26"/>
          <w:highlight w:val="none"/>
        </w:rPr>
        <w:t xml:space="preserve"> тыс. руб.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Безвозмездные поступления в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году утверждены в сумме</w:t>
      </w:r>
      <w:r>
        <w:rPr>
          <w:sz w:val="26"/>
          <w:szCs w:val="26"/>
          <w:highlight w:val="none"/>
        </w:rPr>
        <w:t xml:space="preserve"> 42187,9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35885,8) тыс. руб., полу</w:t>
      </w:r>
      <w:r>
        <w:rPr>
          <w:sz w:val="26"/>
          <w:szCs w:val="26"/>
          <w:highlight w:val="none"/>
        </w:rPr>
        <w:t xml:space="preserve">ч</w:t>
      </w:r>
      <w:r>
        <w:rPr>
          <w:sz w:val="26"/>
          <w:szCs w:val="26"/>
          <w:highlight w:val="none"/>
        </w:rPr>
        <w:t xml:space="preserve">ено </w:t>
      </w:r>
      <w:r>
        <w:rPr>
          <w:sz w:val="26"/>
          <w:szCs w:val="26"/>
          <w:highlight w:val="none"/>
        </w:rPr>
        <w:t xml:space="preserve">42180,1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36685,5) тыс. руб., что составляет </w:t>
      </w:r>
      <w:r>
        <w:rPr>
          <w:sz w:val="26"/>
          <w:szCs w:val="26"/>
          <w:highlight w:val="none"/>
        </w:rPr>
        <w:t xml:space="preserve">99,98</w:t>
      </w:r>
      <w:r>
        <w:rPr>
          <w:sz w:val="26"/>
          <w:szCs w:val="26"/>
          <w:highlight w:val="none"/>
        </w:rPr>
        <w:t xml:space="preserve">% от плана. В сравнении с 202</w:t>
      </w:r>
      <w:r>
        <w:rPr>
          <w:sz w:val="26"/>
          <w:szCs w:val="26"/>
          <w:highlight w:val="none"/>
        </w:rPr>
        <w:t xml:space="preserve">4</w:t>
      </w:r>
      <w:r>
        <w:rPr>
          <w:sz w:val="26"/>
          <w:szCs w:val="26"/>
          <w:highlight w:val="none"/>
        </w:rPr>
        <w:t xml:space="preserve"> годом сумма безвозмездных поступлений увеличились на </w:t>
      </w:r>
      <w:r>
        <w:rPr>
          <w:sz w:val="26"/>
          <w:szCs w:val="26"/>
          <w:highlight w:val="none"/>
        </w:rPr>
        <w:t xml:space="preserve">5494,6</w:t>
      </w:r>
      <w:r>
        <w:rPr>
          <w:sz w:val="26"/>
          <w:szCs w:val="26"/>
          <w:highlight w:val="none"/>
        </w:rPr>
        <w:t xml:space="preserve"> тыс. руб.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структуре доходов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с</w:t>
      </w:r>
      <w:r>
        <w:rPr>
          <w:bCs/>
          <w:sz w:val="26"/>
          <w:szCs w:val="26"/>
          <w:highlight w:val="none"/>
        </w:rPr>
        <w:t xml:space="preserve">обственные доходы</w:t>
      </w:r>
      <w:r>
        <w:rPr>
          <w:sz w:val="26"/>
          <w:szCs w:val="26"/>
          <w:highlight w:val="none"/>
        </w:rPr>
        <w:t xml:space="preserve"> (налого</w:t>
      </w:r>
      <w:r>
        <w:rPr>
          <w:sz w:val="26"/>
          <w:szCs w:val="26"/>
          <w:highlight w:val="none"/>
        </w:rPr>
        <w:t xml:space="preserve">вые и не</w:t>
      </w:r>
      <w:r>
        <w:rPr>
          <w:sz w:val="26"/>
          <w:szCs w:val="26"/>
          <w:highlight w:val="none"/>
        </w:rPr>
        <w:t xml:space="preserve">н</w:t>
      </w:r>
      <w:r>
        <w:rPr>
          <w:sz w:val="26"/>
          <w:szCs w:val="26"/>
          <w:highlight w:val="none"/>
        </w:rPr>
        <w:t xml:space="preserve">алоговые) составляют </w:t>
      </w:r>
      <w:r>
        <w:rPr>
          <w:sz w:val="26"/>
          <w:szCs w:val="26"/>
        </w:rPr>
        <w:t xml:space="preserve">28,75 (2024г.-</w:t>
      </w:r>
      <w:r>
        <w:rPr>
          <w:sz w:val="26"/>
          <w:szCs w:val="26"/>
        </w:rPr>
        <w:t xml:space="preserve">21,03) %, безвозмездные поступления </w:t>
      </w:r>
      <w:r>
        <w:rPr>
          <w:sz w:val="26"/>
          <w:szCs w:val="26"/>
        </w:rPr>
        <w:t xml:space="preserve">71,25 (2024г.-</w:t>
      </w:r>
      <w:r>
        <w:rPr>
          <w:sz w:val="26"/>
          <w:szCs w:val="26"/>
        </w:rPr>
        <w:t xml:space="preserve">78,97) %.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Собственные доходы</w:t>
      </w:r>
      <w:r>
        <w:rPr>
          <w:b/>
          <w:sz w:val="26"/>
          <w:szCs w:val="26"/>
        </w:rPr>
        <w:t xml:space="preserve"> (налоговые и неналоговые)</w:t>
      </w:r>
      <w:r>
        <w:rPr>
          <w:sz w:val="26"/>
          <w:szCs w:val="26"/>
        </w:rPr>
        <w:t xml:space="preserve"> планировались в сумме </w:t>
      </w:r>
      <w:r>
        <w:rPr>
          <w:sz w:val="26"/>
          <w:szCs w:val="26"/>
        </w:rPr>
        <w:t xml:space="preserve">10567,0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10980,7) тыс. руб., по факту в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17022,6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9771,9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тыс. руб. или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1,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% к плану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Налог на доходы физических лиц</w:t>
      </w:r>
      <w:r>
        <w:rPr>
          <w:sz w:val="26"/>
          <w:szCs w:val="26"/>
        </w:rPr>
        <w:t xml:space="preserve"> поступил в сумме </w:t>
      </w:r>
      <w:r>
        <w:rPr>
          <w:sz w:val="26"/>
          <w:szCs w:val="26"/>
        </w:rPr>
        <w:t xml:space="preserve">1348,2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479,2)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руб., при плане отчетного периода </w:t>
      </w:r>
      <w:r>
        <w:rPr>
          <w:sz w:val="26"/>
          <w:szCs w:val="26"/>
        </w:rPr>
        <w:t xml:space="preserve">580,7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967,5) тыс. руб., т.е. исполнен на </w:t>
      </w:r>
      <w:r>
        <w:rPr>
          <w:sz w:val="26"/>
          <w:szCs w:val="26"/>
        </w:rPr>
        <w:t xml:space="preserve">232,2</w:t>
      </w:r>
      <w:r>
        <w:rPr>
          <w:sz w:val="26"/>
          <w:szCs w:val="26"/>
        </w:rPr>
        <w:t xml:space="preserve"> %. По сравнению с прошлым годом поступления увеличились на </w:t>
      </w:r>
      <w:r>
        <w:rPr>
          <w:sz w:val="26"/>
          <w:szCs w:val="26"/>
        </w:rPr>
        <w:t xml:space="preserve">869,0</w:t>
      </w:r>
      <w:r>
        <w:rPr>
          <w:sz w:val="26"/>
          <w:szCs w:val="26"/>
        </w:rPr>
        <w:t xml:space="preserve"> ты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Налоги на товары (работы, услуги), реализуемые на территории Российской Федерации (акцизы по подакцизным товарам (продукции)</w:t>
      </w:r>
      <w:r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году составили</w:t>
      </w:r>
      <w:r>
        <w:rPr>
          <w:bCs/>
          <w:sz w:val="26"/>
          <w:szCs w:val="26"/>
        </w:rPr>
        <w:t xml:space="preserve"> 2512,4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2617,4) тыс. руб. при плановых значениях </w:t>
      </w:r>
      <w:r>
        <w:rPr>
          <w:bCs/>
          <w:sz w:val="26"/>
          <w:szCs w:val="26"/>
        </w:rPr>
        <w:t xml:space="preserve">2684,3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2271,1) тыс. руб. или </w:t>
      </w:r>
      <w:r>
        <w:rPr>
          <w:bCs/>
          <w:sz w:val="26"/>
          <w:szCs w:val="26"/>
          <w:highlight w:val="none"/>
        </w:rPr>
        <w:t xml:space="preserve">93,6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%. 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о сравнению с 202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годом у</w:t>
      </w:r>
      <w:r>
        <w:rPr>
          <w:bCs/>
          <w:sz w:val="26"/>
          <w:szCs w:val="26"/>
        </w:rPr>
        <w:t xml:space="preserve">меньшение</w:t>
      </w:r>
      <w:r>
        <w:rPr>
          <w:bCs/>
          <w:sz w:val="26"/>
          <w:szCs w:val="26"/>
        </w:rPr>
        <w:t xml:space="preserve"> поступлений составляет на </w:t>
      </w:r>
      <w:r>
        <w:rPr>
          <w:bCs/>
          <w:sz w:val="26"/>
          <w:szCs w:val="26"/>
        </w:rPr>
        <w:t xml:space="preserve">105,0</w:t>
      </w:r>
      <w:r>
        <w:rPr>
          <w:bCs/>
          <w:sz w:val="26"/>
          <w:szCs w:val="26"/>
        </w:rPr>
        <w:t xml:space="preserve"> тыс. руб.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Плановый </w:t>
      </w:r>
      <w:r>
        <w:rPr>
          <w:b/>
          <w:sz w:val="26"/>
          <w:szCs w:val="26"/>
        </w:rPr>
        <w:t xml:space="preserve">показатель </w:t>
      </w:r>
      <w:r>
        <w:rPr>
          <w:rStyle w:val="685"/>
          <w:b/>
          <w:sz w:val="26"/>
          <w:szCs w:val="26"/>
        </w:rPr>
        <w:t xml:space="preserve">совокупный сельскохозяйственный налог</w:t>
      </w:r>
      <w:r>
        <w:rPr>
          <w:sz w:val="26"/>
          <w:szCs w:val="26"/>
        </w:rPr>
        <w:t xml:space="preserve"> составляет</w:t>
      </w:r>
      <w:r>
        <w:rPr>
          <w:sz w:val="26"/>
          <w:szCs w:val="26"/>
        </w:rPr>
        <w:t xml:space="preserve"> 237,0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524,0) тыс. руб., исполнение </w:t>
      </w:r>
      <w:r>
        <w:rPr>
          <w:sz w:val="26"/>
          <w:szCs w:val="26"/>
        </w:rPr>
        <w:t xml:space="preserve">925,6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390,6) тыс. руб. или </w:t>
      </w:r>
      <w:r>
        <w:rPr>
          <w:sz w:val="26"/>
          <w:szCs w:val="26"/>
        </w:rPr>
        <w:t xml:space="preserve">390,6</w:t>
      </w:r>
      <w:r>
        <w:rPr>
          <w:sz w:val="26"/>
          <w:szCs w:val="26"/>
        </w:rPr>
        <w:t xml:space="preserve"> %.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Плановый показатель </w:t>
      </w:r>
      <w:r>
        <w:rPr>
          <w:b/>
          <w:i/>
          <w:sz w:val="26"/>
          <w:szCs w:val="26"/>
        </w:rPr>
        <w:t xml:space="preserve">нал</w:t>
      </w:r>
      <w:r>
        <w:rPr>
          <w:b/>
          <w:i/>
          <w:sz w:val="26"/>
          <w:szCs w:val="26"/>
        </w:rPr>
        <w:t xml:space="preserve">о</w:t>
      </w:r>
      <w:r>
        <w:rPr>
          <w:b/>
          <w:i/>
          <w:sz w:val="26"/>
          <w:szCs w:val="26"/>
        </w:rPr>
        <w:t xml:space="preserve">га на имущество физических лиц</w:t>
      </w:r>
      <w:r>
        <w:rPr>
          <w:sz w:val="26"/>
          <w:szCs w:val="26"/>
        </w:rPr>
        <w:t xml:space="preserve"> составляе</w:t>
      </w:r>
      <w:r>
        <w:rPr>
          <w:sz w:val="26"/>
          <w:szCs w:val="26"/>
        </w:rPr>
        <w:t xml:space="preserve">т 691,7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564,3) тыс. руб., исполнение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. 933,7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946,3) тыс. руб., исполнение составляет </w:t>
      </w:r>
      <w:r>
        <w:rPr>
          <w:sz w:val="26"/>
          <w:szCs w:val="26"/>
        </w:rPr>
        <w:t xml:space="preserve">135,0</w:t>
      </w:r>
      <w:r>
        <w:rPr>
          <w:sz w:val="26"/>
          <w:szCs w:val="26"/>
        </w:rPr>
        <w:t xml:space="preserve"> %. В сравнении с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годом наблюдается у</w:t>
      </w:r>
      <w:r>
        <w:rPr>
          <w:sz w:val="26"/>
          <w:szCs w:val="26"/>
        </w:rPr>
        <w:t xml:space="preserve">меньшение </w:t>
      </w:r>
      <w:r>
        <w:rPr>
          <w:sz w:val="26"/>
          <w:szCs w:val="26"/>
        </w:rPr>
        <w:t xml:space="preserve">поступлений по данному налогу на </w:t>
      </w:r>
      <w:r>
        <w:rPr>
          <w:sz w:val="26"/>
          <w:szCs w:val="26"/>
        </w:rPr>
        <w:t xml:space="preserve">12,6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По</w:t>
      </w: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земельному налогу</w:t>
      </w:r>
      <w:r>
        <w:rPr>
          <w:sz w:val="26"/>
          <w:szCs w:val="26"/>
        </w:rPr>
        <w:t xml:space="preserve"> бюджет по доходам исполнен в сумме </w:t>
      </w:r>
      <w:r>
        <w:rPr>
          <w:sz w:val="26"/>
          <w:szCs w:val="26"/>
        </w:rPr>
        <w:t xml:space="preserve">4287,7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4271,0</w:t>
      </w:r>
      <w:r>
        <w:rPr>
          <w:sz w:val="26"/>
          <w:szCs w:val="26"/>
        </w:rPr>
        <w:t xml:space="preserve">) тыс. руб. при плане 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г. в размере </w:t>
      </w:r>
      <w:r>
        <w:rPr>
          <w:sz w:val="26"/>
          <w:szCs w:val="26"/>
        </w:rPr>
        <w:t xml:space="preserve">4418,4 (2024г.-</w:t>
      </w:r>
      <w:r>
        <w:rPr>
          <w:sz w:val="26"/>
          <w:szCs w:val="26"/>
        </w:rPr>
        <w:t xml:space="preserve">5359,1) тыс. руб. или на </w:t>
      </w:r>
      <w:r>
        <w:rPr>
          <w:sz w:val="26"/>
          <w:szCs w:val="26"/>
        </w:rPr>
        <w:t xml:space="preserve">97,0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% от плана по данному налогу. По сравнению с показателями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еличение</w:t>
      </w:r>
      <w:r>
        <w:rPr>
          <w:sz w:val="26"/>
          <w:szCs w:val="26"/>
        </w:rPr>
        <w:t xml:space="preserve"> дохода составля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16,7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Объем поступлений от государственной пошлины за совершение нотариальных действий </w:t>
      </w:r>
      <w:r>
        <w:rPr>
          <w:b/>
          <w:i/>
          <w:sz w:val="26"/>
          <w:szCs w:val="26"/>
        </w:rPr>
        <w:t xml:space="preserve">не </w:t>
      </w:r>
      <w:r>
        <w:rPr>
          <w:b/>
          <w:i/>
          <w:sz w:val="26"/>
          <w:szCs w:val="26"/>
        </w:rPr>
        <w:t xml:space="preserve">планируется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Доходы от использования имущества, находящегося </w:t>
      </w:r>
      <w:r>
        <w:rPr>
          <w:b/>
          <w:i/>
          <w:sz w:val="26"/>
          <w:szCs w:val="26"/>
        </w:rPr>
        <w:t xml:space="preserve">в государственной и муниципальной собственности,</w:t>
      </w:r>
      <w:r>
        <w:rPr>
          <w:sz w:val="26"/>
          <w:szCs w:val="26"/>
        </w:rPr>
        <w:t xml:space="preserve"> поступили в сумме </w:t>
      </w:r>
      <w:r>
        <w:rPr>
          <w:sz w:val="26"/>
          <w:szCs w:val="26"/>
        </w:rPr>
        <w:t xml:space="preserve">5707,4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988,1) тыс.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уб. при плане </w:t>
      </w:r>
      <w:r>
        <w:rPr>
          <w:sz w:val="26"/>
          <w:szCs w:val="26"/>
        </w:rPr>
        <w:t xml:space="preserve">984,1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1237,3) тыс. руб. Исполнение </w:t>
      </w:r>
      <w:r>
        <w:rPr>
          <w:sz w:val="26"/>
          <w:szCs w:val="26"/>
        </w:rPr>
        <w:t xml:space="preserve">579,9</w:t>
      </w:r>
      <w:r>
        <w:rPr>
          <w:sz w:val="26"/>
          <w:szCs w:val="26"/>
        </w:rPr>
        <w:t xml:space="preserve"> %.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tabs>
          <w:tab w:val="left" w:pos="660" w:leader="none"/>
          <w:tab w:val="left" w:pos="241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Исполнение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г. </w:t>
      </w:r>
      <w:r>
        <w:rPr>
          <w:b/>
          <w:i/>
          <w:sz w:val="26"/>
          <w:szCs w:val="26"/>
        </w:rPr>
        <w:t xml:space="preserve">по доходам от оказания платных услуг (работ) и компенсации государства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42,9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75,4) тыс. руб., при плановых значений </w:t>
      </w:r>
      <w:r>
        <w:rPr>
          <w:sz w:val="26"/>
          <w:szCs w:val="26"/>
        </w:rPr>
        <w:t xml:space="preserve">50,0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51,0) тыс. руб. У</w:t>
      </w:r>
      <w:r>
        <w:rPr>
          <w:sz w:val="26"/>
          <w:szCs w:val="26"/>
        </w:rPr>
        <w:t xml:space="preserve">меньшен</w:t>
      </w:r>
      <w:r>
        <w:rPr>
          <w:sz w:val="26"/>
          <w:szCs w:val="26"/>
        </w:rPr>
        <w:t xml:space="preserve">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поступлений по сравнению с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годом составляет </w:t>
      </w:r>
      <w:r>
        <w:rPr>
          <w:sz w:val="26"/>
          <w:szCs w:val="26"/>
        </w:rPr>
        <w:t xml:space="preserve">32,5</w:t>
      </w:r>
      <w:r>
        <w:rPr>
          <w:sz w:val="26"/>
          <w:szCs w:val="26"/>
        </w:rPr>
        <w:t xml:space="preserve"> тыс. руб. Исполнение </w:t>
      </w:r>
      <w:r>
        <w:rPr>
          <w:sz w:val="26"/>
          <w:szCs w:val="26"/>
        </w:rPr>
        <w:t xml:space="preserve">56,9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%.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tabs>
          <w:tab w:val="left" w:pos="660" w:leader="none"/>
          <w:tab w:val="left" w:pos="241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Штрафные санкции в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году планировались в сумме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,0 тыс. руб., поступления составили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,0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tabs>
          <w:tab w:val="left" w:pos="660" w:leader="none"/>
          <w:tab w:val="left" w:pos="241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Прочие неналоговые поступления </w:t>
      </w:r>
      <w:r>
        <w:rPr>
          <w:sz w:val="26"/>
          <w:szCs w:val="26"/>
        </w:rPr>
        <w:t xml:space="preserve">составили </w:t>
      </w:r>
      <w:r>
        <w:rPr>
          <w:sz w:val="26"/>
          <w:szCs w:val="26"/>
        </w:rPr>
        <w:t xml:space="preserve">1089,7 тыс. руб. или 100,0 %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исполнения.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4"/>
        <w:ind w:left="0"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Основными источниками собственных доходов исполнения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в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году стали: доходы от земельного налога, налоги на товары (акцизы), доходы от использования имущества.</w:t>
      </w:r>
      <w:r>
        <w:rPr>
          <w:sz w:val="26"/>
          <w:szCs w:val="26"/>
          <w:highlight w:val="none"/>
        </w:rPr>
      </w:r>
    </w:p>
    <w:p>
      <w:pPr>
        <w:pStyle w:val="664"/>
        <w:ind w:left="0"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sz w:val="26"/>
          <w:szCs w:val="26"/>
          <w:highlight w:val="none"/>
        </w:rPr>
        <w:t xml:space="preserve">Безвозмездные поступле</w:t>
      </w:r>
      <w:r>
        <w:rPr>
          <w:b/>
          <w:sz w:val="26"/>
          <w:szCs w:val="26"/>
          <w:highlight w:val="none"/>
        </w:rPr>
        <w:t xml:space="preserve">ния</w:t>
      </w:r>
      <w:r>
        <w:rPr>
          <w:sz w:val="26"/>
          <w:szCs w:val="26"/>
          <w:highlight w:val="none"/>
        </w:rPr>
        <w:t xml:space="preserve"> в доход бюджет</w:t>
      </w:r>
      <w:r>
        <w:rPr>
          <w:sz w:val="26"/>
          <w:szCs w:val="26"/>
          <w:highlight w:val="none"/>
        </w:rPr>
        <w:t xml:space="preserve">а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Суховское сельское поселение в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году составили</w:t>
      </w:r>
      <w:r>
        <w:rPr>
          <w:sz w:val="26"/>
          <w:szCs w:val="26"/>
          <w:highlight w:val="none"/>
        </w:rPr>
        <w:t xml:space="preserve"> 42180,0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36685,5) тыс. руб., что больше показателя за 202</w:t>
      </w:r>
      <w:r>
        <w:rPr>
          <w:sz w:val="26"/>
          <w:szCs w:val="26"/>
          <w:highlight w:val="none"/>
        </w:rPr>
        <w:t xml:space="preserve">4</w:t>
      </w:r>
      <w:r>
        <w:rPr>
          <w:sz w:val="26"/>
          <w:szCs w:val="26"/>
          <w:highlight w:val="none"/>
        </w:rPr>
        <w:t xml:space="preserve"> на </w:t>
      </w:r>
      <w:r>
        <w:rPr>
          <w:sz w:val="26"/>
          <w:szCs w:val="26"/>
          <w:highlight w:val="none"/>
        </w:rPr>
        <w:t xml:space="preserve">5494,5</w:t>
      </w:r>
      <w:r>
        <w:rPr>
          <w:sz w:val="26"/>
          <w:szCs w:val="26"/>
          <w:highlight w:val="none"/>
        </w:rPr>
        <w:t xml:space="preserve"> тыс. руб. Исполнение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года сост</w:t>
      </w:r>
      <w:r>
        <w:rPr>
          <w:sz w:val="26"/>
          <w:szCs w:val="26"/>
        </w:rPr>
        <w:t xml:space="preserve">авило 10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 % планового показателя в сумме </w:t>
      </w:r>
      <w:r>
        <w:rPr>
          <w:sz w:val="26"/>
          <w:szCs w:val="26"/>
        </w:rPr>
        <w:t xml:space="preserve">42187,9 (2024г.-</w:t>
      </w:r>
      <w:r>
        <w:rPr>
          <w:sz w:val="26"/>
          <w:szCs w:val="26"/>
        </w:rPr>
        <w:t xml:space="preserve">35885,8) тыс. руб., в том чис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е: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дотации из ОФФП и РФФП </w:t>
      </w:r>
      <w:r>
        <w:rPr>
          <w:sz w:val="26"/>
          <w:szCs w:val="26"/>
        </w:rPr>
        <w:t xml:space="preserve">7334,2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5428,1) тыс. руб.;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субсидии бюджетам поселений</w:t>
      </w:r>
      <w:r>
        <w:rPr>
          <w:sz w:val="26"/>
          <w:szCs w:val="26"/>
        </w:rPr>
        <w:t xml:space="preserve"> в размере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10458,8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6010,9) тыс. руб.;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субвенции бюджетам (в том числе на осуществление первичного воинского учета и административную комиссию) </w:t>
      </w:r>
      <w:r>
        <w:rPr>
          <w:sz w:val="26"/>
          <w:szCs w:val="26"/>
        </w:rPr>
        <w:t xml:space="preserve">218,3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186,5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тыс. руб.;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иные межбюджетные трансферты, передаваемые бюджетам </w:t>
      </w:r>
      <w:r>
        <w:rPr>
          <w:sz w:val="26"/>
          <w:szCs w:val="26"/>
        </w:rPr>
        <w:t xml:space="preserve">23991,6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24995,2) тыс. руб.;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прочие безвозмездные поступления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185,0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120,0) тыс. руб.;</w:t>
      </w:r>
      <w:r>
        <w:rPr>
          <w:sz w:val="26"/>
          <w:szCs w:val="26"/>
        </w:rPr>
      </w:r>
    </w:p>
    <w:p>
      <w:pPr>
        <w:pStyle w:val="655"/>
        <w:numPr>
          <w:ilvl w:val="0"/>
          <w:numId w:val="1"/>
        </w:numPr>
        <w:jc w:val="both"/>
        <w:spacing w:after="20" w:line="252" w:lineRule="auto"/>
        <w:tabs>
          <w:tab w:val="left" w:pos="4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остатков </w:t>
      </w:r>
      <w:r>
        <w:rPr>
          <w:sz w:val="26"/>
          <w:szCs w:val="26"/>
        </w:rPr>
        <w:t xml:space="preserve">7,9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55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65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Исполнение расходной части бюджета за </w:t>
      </w:r>
      <w:r>
        <w:rPr>
          <w:b/>
          <w:sz w:val="26"/>
          <w:szCs w:val="26"/>
        </w:rPr>
        <w:t xml:space="preserve">2025</w:t>
      </w:r>
      <w:r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</w:r>
    </w:p>
    <w:p>
      <w:pPr>
        <w:pStyle w:val="655"/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pStyle w:val="655"/>
        <w:jc w:val="right"/>
      </w:pPr>
      <w:r>
        <w:t xml:space="preserve">тыс. руб.</w:t>
      </w:r>
      <w:r/>
    </w:p>
    <w:tbl>
      <w:tblPr>
        <w:tblW w:w="0" w:type="auto"/>
        <w:tblInd w:w="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3"/>
        <w:gridCol w:w="2832"/>
        <w:gridCol w:w="1134"/>
        <w:gridCol w:w="1276"/>
        <w:gridCol w:w="1276"/>
        <w:gridCol w:w="1134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2"/>
        </w:trPr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Утверж-дено на дату </w:t>
              <w:br w:type="textWrapping" w:clear="all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Испол-нено на отчетную дату </w:t>
              <w:br w:type="textWrapping" w:clear="all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% испол-нения факта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к плану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Испол-нено на отчет-ную дату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% испол-нения факта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г. </w:t>
              <w:br w:type="textWrapping" w:clear="all"/>
              <w:t xml:space="preserve">к факту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0100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щегосударственные вопросы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10587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9484,8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89,59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296,3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114,33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0200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214,8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214,8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183,0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8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0300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1483,5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1468,0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3129,0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46,92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7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0400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19184,9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18285,4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95,31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13065,0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139,96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17511,4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17136,4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97,86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16575,8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3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0700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34,3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23,2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147,84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1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0800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Культура и кинематография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5287,9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4829,6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91,33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4626,0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104,40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1973,7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1319,6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культура и 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17,0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17,0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1300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Обслуживание государственного и муниципального долга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"/>
        </w:trPr>
        <w:tc>
          <w:tcPr>
            <w:tcW w:w="723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2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56360,5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52773,0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6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93,63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yellow"/>
              </w:rPr>
            </w:r>
            <w:r>
              <w:rPr>
                <w:bCs/>
              </w:rPr>
              <w:t xml:space="preserve">47008,0</w:t>
            </w:r>
            <w:r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65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113,07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55"/>
        <w:ind w:left="8100" w:right="68" w:firstLine="1260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Расходы бюджета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</w:rPr>
        <w:t xml:space="preserve">Суховское сельское поселение 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утверждены советом де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утатов с учетом изменений в течение года в сумм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56360,5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52638,3) тыс. руб. Исполнение составило сумму в размере </w:t>
      </w:r>
      <w:r>
        <w:rPr>
          <w:sz w:val="26"/>
          <w:szCs w:val="26"/>
        </w:rPr>
        <w:t xml:space="preserve">52773,0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46672,4</w:t>
      </w:r>
      <w:r>
        <w:rPr>
          <w:sz w:val="26"/>
          <w:szCs w:val="26"/>
        </w:rPr>
        <w:t xml:space="preserve">) тыс. руб. или </w:t>
      </w:r>
      <w:r>
        <w:rPr>
          <w:sz w:val="26"/>
          <w:szCs w:val="26"/>
        </w:rPr>
        <w:t xml:space="preserve">93,6</w:t>
      </w:r>
      <w:r>
        <w:rPr>
          <w:sz w:val="26"/>
          <w:szCs w:val="26"/>
        </w:rPr>
        <w:t xml:space="preserve"> % от плана. Неиспользованная сумма составила </w:t>
      </w:r>
      <w:r>
        <w:rPr>
          <w:sz w:val="26"/>
          <w:szCs w:val="26"/>
        </w:rPr>
        <w:t xml:space="preserve">3587,4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30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По разделу 0100 «Общегосудар</w:t>
      </w:r>
      <w:r>
        <w:rPr>
          <w:b/>
          <w:sz w:val="26"/>
          <w:szCs w:val="26"/>
        </w:rPr>
        <w:t xml:space="preserve">с</w:t>
      </w:r>
      <w:r>
        <w:rPr>
          <w:b/>
          <w:sz w:val="26"/>
          <w:szCs w:val="26"/>
        </w:rPr>
        <w:t xml:space="preserve">твенные вопросы»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году предусмотрены средства в размере </w:t>
      </w:r>
      <w:r>
        <w:rPr>
          <w:sz w:val="26"/>
          <w:szCs w:val="26"/>
        </w:rPr>
        <w:t xml:space="preserve">10587,2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10405,87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тыс. руб., фактически использовано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9484,8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8678,8) тыс. руб., т.е. 8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%. По сравнению с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годом расходы по данному разделу увеличены на сумму </w:t>
      </w:r>
      <w:r>
        <w:rPr>
          <w:sz w:val="26"/>
          <w:szCs w:val="26"/>
        </w:rPr>
        <w:t xml:space="preserve">806,0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Расходы по подразделу 0111 </w:t>
      </w:r>
      <w:r>
        <w:rPr>
          <w:b/>
          <w:sz w:val="26"/>
          <w:szCs w:val="26"/>
        </w:rPr>
        <w:t xml:space="preserve">«Резервные фонды»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году: фактическое исполнение по данному подразделу не производилось. План 30,0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300" w:lineRule="auto"/>
      </w:pPr>
      <w:r>
        <w:rPr>
          <w:sz w:val="26"/>
          <w:szCs w:val="26"/>
        </w:rPr>
        <w:t xml:space="preserve">Расходы по подразделу 0113 «</w:t>
      </w:r>
      <w:r>
        <w:rPr>
          <w:b/>
          <w:sz w:val="26"/>
          <w:szCs w:val="26"/>
        </w:rPr>
        <w:t xml:space="preserve">Другие общегосударственные расходы</w:t>
      </w:r>
      <w:r>
        <w:rPr>
          <w:sz w:val="26"/>
          <w:szCs w:val="26"/>
        </w:rPr>
        <w:t xml:space="preserve">» произведены:</w:t>
      </w:r>
      <w:r/>
    </w:p>
    <w:p>
      <w:pPr>
        <w:pStyle w:val="655"/>
        <w:ind w:firstLine="708"/>
        <w:jc w:val="right"/>
        <w:tabs>
          <w:tab w:val="left" w:pos="8316" w:leader="none"/>
        </w:tabs>
      </w:pPr>
      <w:r>
        <w:t xml:space="preserve">Руб.</w:t>
      </w:r>
      <w:r/>
    </w:p>
    <w:tbl>
      <w:tblPr>
        <w:tblW w:w="0" w:type="auto"/>
        <w:tblInd w:w="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87"/>
        <w:gridCol w:w="1296"/>
        <w:gridCol w:w="1871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6487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Другие общегосударственные во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росы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401 956,18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379 798,49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6487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Расчеты за услуги по начислению и сбору платы за наем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7 896,00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7 896,00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6487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проведение юридической экспертизы нормативно-правовых актов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6487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и обслуживание объектов имущества казны</w:t>
            </w:r>
            <w:r>
              <w:rPr>
                <w:color w:val="000000"/>
                <w:sz w:val="24"/>
                <w:szCs w:val="24"/>
              </w:rPr>
              <w:t xml:space="preserve"> муниц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пального образования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205 531,68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205 531,68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6487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приобретение товаров, работ, услуг в целях обеспечения публикации муниципальных правовых актов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110 028,50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87 870,81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6487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части полномочий поселений по владению, пользованию и распоряжени</w:t>
            </w:r>
            <w:r>
              <w:rPr>
                <w:color w:val="000000"/>
                <w:sz w:val="24"/>
                <w:szCs w:val="24"/>
              </w:rPr>
              <w:t xml:space="preserve">ю</w:t>
            </w:r>
            <w:r>
              <w:rPr>
                <w:color w:val="000000"/>
                <w:sz w:val="24"/>
                <w:szCs w:val="24"/>
              </w:rPr>
              <w:t xml:space="preserve"> имуществом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53 500,00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6" w:type="auto"/>
            <w:vAlign w:val="bottom"/>
            <w:textDirection w:val="lrTb"/>
            <w:noWrap w:val="false"/>
          </w:tcPr>
          <w:p>
            <w:pPr>
              <w:pStyle w:val="65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53 500,00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65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По разделу 0200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Национальная оборона»</w:t>
      </w:r>
      <w:r>
        <w:rPr>
          <w:bCs/>
          <w:sz w:val="26"/>
          <w:szCs w:val="26"/>
        </w:rPr>
        <w:t xml:space="preserve"> предусмотрены ассигнования в размере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214,8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183,0) тыс. руб. Фактический расход составил </w:t>
      </w:r>
      <w:r>
        <w:rPr>
          <w:bCs/>
          <w:sz w:val="26"/>
          <w:szCs w:val="26"/>
        </w:rPr>
        <w:t xml:space="preserve">214,8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183,0) тыс. руб. или 100,0 % от плана. Расходы направлены на осуществление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полномочий по первичному воинскому учету на территории, где отсутствуют военные комиссариаты. По сравнению с расходами 202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года увеличение составляет </w:t>
      </w:r>
      <w:r>
        <w:rPr>
          <w:bCs/>
          <w:sz w:val="26"/>
          <w:szCs w:val="26"/>
          <w:highlight w:val="none"/>
        </w:rPr>
        <w:t xml:space="preserve">31,8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тыс. руб.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По разделу 0300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Национальная безопасность и правоохранительная деятельность» </w:t>
      </w:r>
      <w:r>
        <w:rPr>
          <w:bCs/>
          <w:sz w:val="26"/>
          <w:szCs w:val="26"/>
        </w:rPr>
        <w:t xml:space="preserve">предусмотре</w:t>
      </w:r>
      <w:r>
        <w:rPr>
          <w:bCs/>
          <w:sz w:val="26"/>
          <w:szCs w:val="26"/>
        </w:rPr>
        <w:t xml:space="preserve">н</w:t>
      </w:r>
      <w:r>
        <w:rPr>
          <w:bCs/>
          <w:sz w:val="26"/>
          <w:szCs w:val="26"/>
        </w:rPr>
        <w:t xml:space="preserve">ы ассигнования в размере </w:t>
      </w:r>
      <w:r>
        <w:rPr>
          <w:bCs/>
          <w:sz w:val="26"/>
          <w:szCs w:val="26"/>
        </w:rPr>
        <w:t xml:space="preserve">1483,6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3266,5) тыс. руб. Фактический расход составил </w:t>
      </w:r>
      <w:r>
        <w:rPr>
          <w:bCs/>
          <w:sz w:val="26"/>
          <w:szCs w:val="26"/>
        </w:rPr>
        <w:t xml:space="preserve">1468,0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3129,0) тыс. руб., что составляет 98</w:t>
      </w:r>
      <w:r>
        <w:rPr>
          <w:bCs/>
          <w:sz w:val="26"/>
          <w:szCs w:val="26"/>
        </w:rPr>
        <w:t xml:space="preserve">,9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% от плана. По сравнению с 202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годом произошло у</w:t>
      </w:r>
      <w:r>
        <w:rPr>
          <w:bCs/>
          <w:sz w:val="26"/>
          <w:szCs w:val="26"/>
        </w:rPr>
        <w:t xml:space="preserve">меньшение</w:t>
      </w:r>
      <w:r>
        <w:rPr>
          <w:bCs/>
          <w:sz w:val="26"/>
          <w:szCs w:val="26"/>
        </w:rPr>
        <w:t xml:space="preserve"> расходов на </w:t>
      </w:r>
      <w:r>
        <w:rPr>
          <w:bCs/>
          <w:sz w:val="26"/>
          <w:szCs w:val="26"/>
        </w:rPr>
        <w:t xml:space="preserve">1661,0</w:t>
      </w:r>
      <w:r>
        <w:rPr>
          <w:bCs/>
          <w:sz w:val="26"/>
          <w:szCs w:val="26"/>
        </w:rPr>
        <w:t xml:space="preserve"> тыс. ру</w:t>
      </w:r>
      <w:r>
        <w:rPr>
          <w:bCs/>
          <w:sz w:val="26"/>
          <w:szCs w:val="26"/>
        </w:rPr>
        <w:t xml:space="preserve">б.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Исполнение бюджета производил</w:t>
      </w:r>
      <w:r>
        <w:rPr>
          <w:bCs/>
          <w:sz w:val="26"/>
          <w:szCs w:val="26"/>
        </w:rPr>
        <w:t xml:space="preserve">о</w:t>
      </w:r>
      <w:r>
        <w:rPr>
          <w:bCs/>
          <w:sz w:val="26"/>
          <w:szCs w:val="26"/>
        </w:rPr>
        <w:t xml:space="preserve">сь по: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по подразделу 0310 </w:t>
      </w:r>
      <w:r>
        <w:rPr>
          <w:b/>
          <w:sz w:val="26"/>
          <w:szCs w:val="26"/>
        </w:rPr>
        <w:t xml:space="preserve">«Защита населения и территории от чрезвычайных ситуаций природного и техногенного характера, пожарная безопасность»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предусмотрены ассигнования в размере </w:t>
      </w:r>
      <w:r>
        <w:rPr>
          <w:sz w:val="26"/>
          <w:szCs w:val="26"/>
        </w:rPr>
        <w:t xml:space="preserve">1474,6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3251,5) тыс. руб. расх</w:t>
      </w:r>
      <w:r>
        <w:rPr>
          <w:sz w:val="26"/>
          <w:szCs w:val="26"/>
        </w:rPr>
        <w:t xml:space="preserve">оды произведены на 96,0 %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 плановых показателей или </w:t>
      </w:r>
      <w:r>
        <w:rPr>
          <w:sz w:val="26"/>
          <w:szCs w:val="26"/>
        </w:rPr>
        <w:t xml:space="preserve">1460,0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3121,0) тыс. руб.</w:t>
      </w:r>
      <w:r>
        <w:rPr>
          <w:sz w:val="26"/>
          <w:szCs w:val="26"/>
        </w:rPr>
        <w:t xml:space="preserve"> Исполнение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года выше показателя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года на </w:t>
      </w:r>
      <w:r>
        <w:rPr>
          <w:sz w:val="26"/>
          <w:szCs w:val="26"/>
        </w:rPr>
        <w:t xml:space="preserve">1661,0</w:t>
      </w:r>
      <w:r>
        <w:rPr>
          <w:sz w:val="26"/>
          <w:szCs w:val="26"/>
        </w:rPr>
        <w:t xml:space="preserve"> тыс. руб. Расходы направлены на организацию осуществления мероприятий по предупреждению и тушению пожаров на территории пос</w:t>
      </w:r>
      <w:r>
        <w:rPr>
          <w:sz w:val="26"/>
          <w:szCs w:val="26"/>
        </w:rPr>
        <w:t xml:space="preserve">еления и организацию пожарно-п</w:t>
      </w:r>
      <w:r>
        <w:rPr>
          <w:sz w:val="26"/>
          <w:szCs w:val="26"/>
        </w:rPr>
        <w:t xml:space="preserve">рофилактической работы на территории поселения в рамках подпрограммы «Обеспечение пожарной безопасности территории муниципального образования Суховское сельское поселение» муниципальной программы «Безопасность МО Суховское сел</w:t>
      </w:r>
      <w:r>
        <w:rPr>
          <w:sz w:val="26"/>
          <w:szCs w:val="26"/>
        </w:rPr>
        <w:t xml:space="preserve">ьское поселение»;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 подразделу 0314 </w:t>
      </w:r>
      <w:r>
        <w:rPr>
          <w:b/>
          <w:sz w:val="26"/>
          <w:szCs w:val="26"/>
        </w:rPr>
        <w:t xml:space="preserve">«Другие вопросы в области национальной безопасности и правоохранительной деятельности»</w:t>
      </w:r>
      <w:r>
        <w:rPr>
          <w:sz w:val="26"/>
          <w:szCs w:val="26"/>
        </w:rPr>
        <w:t xml:space="preserve"> произведены расходы на реализацию осуществления мероприятий по противодействию терроризму на территории поселения в рамках подпрог</w:t>
      </w:r>
      <w:r>
        <w:rPr>
          <w:sz w:val="26"/>
          <w:szCs w:val="26"/>
        </w:rPr>
        <w:t xml:space="preserve">раммы «Обеспечение пожарной безопасности территории муниципального образования Суховское сельское поселение» муниципальной программы «Безопасность МО Суховское сельское поселение» в сумме </w:t>
      </w:r>
      <w:r>
        <w:rPr>
          <w:sz w:val="26"/>
          <w:szCs w:val="26"/>
        </w:rPr>
        <w:t xml:space="preserve">8,0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(2024г.-8,0</w:t>
      </w:r>
      <w:r>
        <w:rPr>
          <w:sz w:val="26"/>
          <w:szCs w:val="26"/>
        </w:rPr>
        <w:t xml:space="preserve">) тыс. руб., плановые показатели данных расходов соста</w:t>
      </w:r>
      <w:r>
        <w:rPr>
          <w:sz w:val="26"/>
          <w:szCs w:val="26"/>
        </w:rPr>
        <w:t xml:space="preserve">вили </w:t>
      </w:r>
      <w:r>
        <w:rPr>
          <w:sz w:val="26"/>
          <w:szCs w:val="26"/>
        </w:rPr>
        <w:t xml:space="preserve">9,0 (2024г.-</w:t>
      </w:r>
      <w:r>
        <w:rPr>
          <w:sz w:val="26"/>
          <w:szCs w:val="26"/>
        </w:rPr>
        <w:t xml:space="preserve">15,0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разделу 0400 </w:t>
      </w:r>
      <w:r>
        <w:rPr>
          <w:b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Национальная экономика» </w:t>
      </w:r>
      <w:r>
        <w:rPr>
          <w:bCs/>
          <w:sz w:val="26"/>
          <w:szCs w:val="26"/>
        </w:rPr>
        <w:t xml:space="preserve">плановые ассигнования составили </w:t>
      </w:r>
      <w:r>
        <w:rPr>
          <w:bCs/>
          <w:sz w:val="26"/>
          <w:szCs w:val="26"/>
        </w:rPr>
        <w:t xml:space="preserve">19184,9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15016,6) тыс. руб. В процессе исполнения бюджета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года фактически израсходовано </w:t>
      </w:r>
      <w:r>
        <w:rPr>
          <w:bCs/>
          <w:sz w:val="26"/>
          <w:szCs w:val="26"/>
        </w:rPr>
        <w:t xml:space="preserve">18285,4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13065,0) тыс. руб., что составляет </w:t>
      </w:r>
      <w:r>
        <w:rPr>
          <w:bCs/>
          <w:sz w:val="26"/>
          <w:szCs w:val="26"/>
        </w:rPr>
        <w:t xml:space="preserve">9</w:t>
      </w:r>
      <w:r>
        <w:rPr>
          <w:bCs/>
          <w:sz w:val="26"/>
          <w:szCs w:val="26"/>
        </w:rPr>
        <w:t xml:space="preserve">6,3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% от запланированных средств. В сравнении с 202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годом произошло значительное увеличение расходов.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По подразделу 0409</w:t>
      </w:r>
      <w:r>
        <w:rPr>
          <w:b/>
          <w:sz w:val="26"/>
          <w:szCs w:val="26"/>
        </w:rPr>
        <w:t xml:space="preserve"> «Дорожное хозяйство» (дорожные фонды)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предусмотрены ассигнования в размере </w:t>
      </w:r>
      <w:r>
        <w:rPr>
          <w:sz w:val="26"/>
          <w:szCs w:val="26"/>
        </w:rPr>
        <w:t xml:space="preserve">17693,9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14876,2) тыс. руб., фактические р</w:t>
      </w:r>
      <w:r>
        <w:rPr>
          <w:sz w:val="26"/>
          <w:szCs w:val="26"/>
        </w:rPr>
        <w:t xml:space="preserve">асходы составили </w:t>
      </w:r>
      <w:r>
        <w:rPr>
          <w:sz w:val="26"/>
          <w:szCs w:val="26"/>
        </w:rPr>
        <w:t xml:space="preserve">16811,4 (2024г.-</w:t>
      </w:r>
      <w:r>
        <w:rPr>
          <w:sz w:val="26"/>
          <w:szCs w:val="26"/>
        </w:rPr>
        <w:t xml:space="preserve">12926,6) тыс. руб. или </w:t>
      </w:r>
      <w:r>
        <w:rPr>
          <w:sz w:val="26"/>
          <w:szCs w:val="26"/>
        </w:rPr>
        <w:t xml:space="preserve">66,0</w:t>
      </w:r>
      <w:r>
        <w:rPr>
          <w:sz w:val="26"/>
          <w:szCs w:val="26"/>
        </w:rPr>
        <w:t xml:space="preserve"> % от плана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года. Расходы произведены на мероприятия муниципальной программы «Совершенствование и развитие автомобильных дорог муниципального образования Суховское сельское поселение».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По под</w:t>
      </w:r>
      <w:r>
        <w:rPr>
          <w:sz w:val="26"/>
          <w:szCs w:val="26"/>
        </w:rPr>
        <w:t xml:space="preserve">разделу 0412</w:t>
      </w:r>
      <w:r>
        <w:rPr>
          <w:b/>
          <w:sz w:val="26"/>
          <w:szCs w:val="26"/>
        </w:rPr>
        <w:t xml:space="preserve"> «Другие вопросы в области национальной экономики»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предусмотрены средства в размере</w:t>
      </w:r>
      <w:r>
        <w:rPr>
          <w:sz w:val="26"/>
          <w:szCs w:val="26"/>
        </w:rPr>
        <w:t xml:space="preserve"> 1491,0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140,4) тыс. руб., фактические расходы за отчетный период составили 98,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 % плановых расходов или</w:t>
      </w:r>
      <w:r>
        <w:rPr>
          <w:sz w:val="26"/>
          <w:szCs w:val="26"/>
        </w:rPr>
        <w:t xml:space="preserve"> 1474,0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138,4) тыс. руб. В сра</w:t>
      </w:r>
      <w:r>
        <w:rPr>
          <w:sz w:val="26"/>
          <w:szCs w:val="26"/>
        </w:rPr>
        <w:t xml:space="preserve">внении с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годом фактические</w:t>
      </w:r>
      <w:r>
        <w:rPr>
          <w:sz w:val="26"/>
          <w:szCs w:val="26"/>
        </w:rPr>
        <w:t xml:space="preserve"> расходы значительно изменились на 1335,6 тыс. руб.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Произведены расходы:</w:t>
      </w:r>
      <w:r>
        <w:rPr>
          <w:sz w:val="26"/>
          <w:szCs w:val="26"/>
        </w:rPr>
      </w:r>
    </w:p>
    <w:p>
      <w:pPr>
        <w:pStyle w:val="655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Руб.</w:t>
      </w:r>
      <w:r>
        <w:rPr>
          <w:sz w:val="26"/>
          <w:szCs w:val="26"/>
        </w:rPr>
      </w:r>
    </w:p>
    <w:tbl>
      <w:tblPr>
        <w:tblW w:w="9653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20"/>
        <w:gridCol w:w="2020"/>
        <w:gridCol w:w="2313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Другие вопросы в области национальной</w:t>
            </w:r>
            <w:r>
              <w:rPr>
                <w:color w:val="000000"/>
                <w:sz w:val="24"/>
                <w:szCs w:val="24"/>
              </w:rPr>
              <w:t xml:space="preserve"> экономики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1 491 000,00</w:t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1 474 000,00</w:t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Консультационная и информационная поддержка малого  и среднего предприниматель-ства на территории Суховского СП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Выполнение комплексных кадастровых работ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1 470 112,38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1 469 000,00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1 470 112,38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1 469 000,00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1 470 112,38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1 469 000,00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Прочая закупка товаро</w:t>
            </w:r>
            <w:r>
              <w:rPr>
                <w:color w:val="000000"/>
                <w:sz w:val="24"/>
                <w:szCs w:val="24"/>
              </w:rPr>
              <w:t xml:space="preserve">в, работ и услуг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1 470 112,38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1 469 000,00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Мероприятия по землеустройству и землепользованию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13 887,62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13 887,62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Иные закупки товаров, работ и услуг для обеспе</w:t>
            </w:r>
            <w:r>
              <w:rPr>
                <w:color w:val="000000"/>
                <w:sz w:val="24"/>
                <w:szCs w:val="24"/>
              </w:rPr>
              <w:t xml:space="preserve">чения государственных (муниципальных) нужд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13 887,62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13 887,62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65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По разделу 0500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«Ж</w:t>
      </w:r>
      <w:r>
        <w:rPr>
          <w:b/>
          <w:bCs/>
          <w:sz w:val="26"/>
          <w:szCs w:val="26"/>
        </w:rPr>
        <w:t xml:space="preserve">илищно-коммунальное хозяйство» </w:t>
      </w:r>
      <w:r>
        <w:rPr>
          <w:bCs/>
          <w:sz w:val="26"/>
          <w:szCs w:val="26"/>
        </w:rPr>
        <w:t xml:space="preserve">планируемая сумма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года составила </w:t>
      </w:r>
      <w:r>
        <w:rPr>
          <w:bCs/>
          <w:sz w:val="26"/>
          <w:szCs w:val="26"/>
        </w:rPr>
        <w:t xml:space="preserve">17511,4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18129,3) </w:t>
      </w:r>
      <w:r>
        <w:rPr>
          <w:bCs/>
          <w:sz w:val="26"/>
          <w:szCs w:val="26"/>
          <w:highlight w:val="none"/>
        </w:rPr>
        <w:t xml:space="preserve">тыс. руб. Исполнение бюджета по да</w:t>
      </w:r>
      <w:r>
        <w:rPr>
          <w:bCs/>
          <w:sz w:val="26"/>
          <w:szCs w:val="26"/>
          <w:highlight w:val="none"/>
        </w:rPr>
        <w:t xml:space="preserve">нному разделу составило</w:t>
      </w:r>
      <w:r>
        <w:rPr>
          <w:bCs/>
          <w:sz w:val="26"/>
          <w:szCs w:val="26"/>
          <w:highlight w:val="none"/>
        </w:rPr>
        <w:t xml:space="preserve"> </w:t>
      </w:r>
      <w:r>
        <w:rPr>
          <w:bCs/>
          <w:sz w:val="26"/>
          <w:szCs w:val="26"/>
          <w:highlight w:val="none"/>
        </w:rPr>
        <w:t xml:space="preserve">17136,6</w:t>
      </w:r>
      <w:r>
        <w:rPr>
          <w:bCs/>
          <w:sz w:val="26"/>
          <w:szCs w:val="26"/>
          <w:highlight w:val="none"/>
        </w:rPr>
        <w:t xml:space="preserve"> </w:t>
      </w:r>
      <w:r>
        <w:rPr>
          <w:bCs/>
          <w:sz w:val="26"/>
          <w:szCs w:val="26"/>
          <w:highlight w:val="none"/>
        </w:rPr>
        <w:t xml:space="preserve">(2024г.-</w:t>
      </w:r>
      <w:r>
        <w:rPr>
          <w:bCs/>
          <w:sz w:val="26"/>
          <w:szCs w:val="26"/>
          <w:highlight w:val="none"/>
        </w:rPr>
        <w:t xml:space="preserve">16575,8) тыс. руб., что на </w:t>
      </w:r>
      <w:r>
        <w:rPr>
          <w:bCs/>
          <w:sz w:val="26"/>
          <w:szCs w:val="26"/>
          <w:highlight w:val="none"/>
        </w:rPr>
        <w:t xml:space="preserve">560,6</w:t>
      </w:r>
      <w:r>
        <w:rPr>
          <w:bCs/>
          <w:sz w:val="26"/>
          <w:szCs w:val="26"/>
          <w:highlight w:val="none"/>
        </w:rPr>
        <w:t xml:space="preserve"> </w:t>
      </w:r>
      <w:r>
        <w:rPr>
          <w:bCs/>
          <w:sz w:val="26"/>
          <w:szCs w:val="26"/>
          <w:highlight w:val="none"/>
        </w:rPr>
        <w:t xml:space="preserve">тыс. руб. больше расходов </w:t>
      </w:r>
      <w:r>
        <w:rPr>
          <w:bCs/>
          <w:sz w:val="26"/>
          <w:szCs w:val="26"/>
          <w:highlight w:val="none"/>
        </w:rPr>
        <w:t xml:space="preserve">202</w:t>
      </w:r>
      <w:r>
        <w:rPr>
          <w:bCs/>
          <w:sz w:val="26"/>
          <w:szCs w:val="26"/>
          <w:highlight w:val="none"/>
        </w:rPr>
        <w:t xml:space="preserve">4</w:t>
      </w:r>
      <w:r>
        <w:rPr>
          <w:bCs/>
          <w:sz w:val="26"/>
          <w:szCs w:val="26"/>
          <w:highlight w:val="none"/>
        </w:rPr>
        <w:t xml:space="preserve"> года. Расходы по данному разделу являются социально значимыми и востребованными, составляют </w:t>
      </w:r>
      <w:r>
        <w:rPr>
          <w:bCs/>
          <w:sz w:val="26"/>
          <w:szCs w:val="26"/>
          <w:highlight w:val="none"/>
        </w:rPr>
        <w:t xml:space="preserve">32,5</w:t>
      </w:r>
      <w:r>
        <w:rPr>
          <w:bCs/>
          <w:sz w:val="26"/>
          <w:szCs w:val="26"/>
          <w:highlight w:val="none"/>
        </w:rPr>
        <w:t xml:space="preserve"> % от вс</w:t>
      </w:r>
      <w:r>
        <w:rPr>
          <w:bCs/>
          <w:sz w:val="26"/>
          <w:szCs w:val="26"/>
        </w:rPr>
        <w:t xml:space="preserve">ех расходов бюджета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года. Исполнение расход</w:t>
      </w:r>
      <w:r>
        <w:rPr>
          <w:bCs/>
          <w:sz w:val="26"/>
          <w:szCs w:val="26"/>
        </w:rPr>
        <w:t xml:space="preserve">ов по данной статье составляет 9</w:t>
      </w:r>
      <w:r>
        <w:rPr>
          <w:bCs/>
          <w:sz w:val="26"/>
          <w:szCs w:val="26"/>
        </w:rPr>
        <w:t xml:space="preserve">7,9</w:t>
      </w:r>
      <w:r>
        <w:rPr>
          <w:bCs/>
          <w:sz w:val="26"/>
          <w:szCs w:val="26"/>
        </w:rPr>
        <w:t xml:space="preserve"> % от плановых показателей.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По подразделу 0501</w:t>
      </w:r>
      <w:r>
        <w:rPr>
          <w:b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 xml:space="preserve">Жилищное хозяйство»</w:t>
      </w:r>
      <w:r>
        <w:rPr>
          <w:bCs/>
          <w:sz w:val="26"/>
          <w:szCs w:val="26"/>
        </w:rPr>
        <w:t xml:space="preserve"> фактические расходы за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 составили </w:t>
      </w:r>
      <w:r>
        <w:rPr>
          <w:bCs/>
          <w:sz w:val="26"/>
          <w:szCs w:val="26"/>
        </w:rPr>
        <w:t xml:space="preserve">1852,9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5097,4) тыс. руб., плановые показатели </w:t>
      </w:r>
      <w:r>
        <w:rPr>
          <w:bCs/>
          <w:sz w:val="26"/>
          <w:szCs w:val="26"/>
          <w:highlight w:val="yellow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  <w:t xml:space="preserve">1852,9</w:t>
      </w:r>
      <w:r/>
      <w:r>
        <w:rPr>
          <w:bCs/>
          <w:sz w:val="26"/>
          <w:szCs w:val="26"/>
          <w:highlight w:val="yellow"/>
        </w:rPr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6350,5) тыс. руб., выполнены на </w:t>
      </w:r>
      <w:r>
        <w:rPr>
          <w:bCs/>
          <w:sz w:val="26"/>
          <w:szCs w:val="26"/>
        </w:rPr>
        <w:t xml:space="preserve">100,0</w:t>
      </w:r>
      <w:r>
        <w:rPr>
          <w:bCs/>
          <w:sz w:val="26"/>
          <w:szCs w:val="26"/>
        </w:rPr>
        <w:t xml:space="preserve"> %.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</w:t>
      </w:r>
      <w:r>
        <w:rPr>
          <w:bCs/>
          <w:sz w:val="26"/>
          <w:szCs w:val="26"/>
        </w:rPr>
        <w:t xml:space="preserve">ользованы на: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Капитальный ремонт (ремонт) муниципального жилищного фонда в сумме </w:t>
      </w:r>
      <w:r>
        <w:rPr>
          <w:sz w:val="26"/>
          <w:szCs w:val="26"/>
        </w:rPr>
        <w:t xml:space="preserve">998,6</w:t>
      </w:r>
      <w:r>
        <w:rPr>
          <w:sz w:val="26"/>
          <w:szCs w:val="26"/>
        </w:rPr>
        <w:t xml:space="preserve"> тыс. руб.;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Взнос на капитальный ремонт общего имущества в многоквартирном доме на территории муниципального образования в сумме </w:t>
      </w:r>
      <w:r>
        <w:rPr>
          <w:sz w:val="26"/>
          <w:szCs w:val="26"/>
        </w:rPr>
        <w:t xml:space="preserve">854,0</w:t>
      </w:r>
      <w:r>
        <w:rPr>
          <w:sz w:val="26"/>
          <w:szCs w:val="26"/>
        </w:rPr>
        <w:t xml:space="preserve"> тыс. руб.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По подразделу 0502</w:t>
      </w:r>
      <w:r>
        <w:rPr>
          <w:b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 xml:space="preserve">Комму</w:t>
      </w:r>
      <w:r>
        <w:rPr>
          <w:b/>
          <w:bCs/>
          <w:sz w:val="26"/>
          <w:szCs w:val="26"/>
        </w:rPr>
        <w:t xml:space="preserve">нальное хозяйство» </w:t>
      </w:r>
      <w:r>
        <w:rPr>
          <w:bCs/>
          <w:sz w:val="26"/>
          <w:szCs w:val="26"/>
        </w:rPr>
        <w:t xml:space="preserve">фактические расходы за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 составили </w:t>
      </w:r>
      <w:r>
        <w:rPr>
          <w:bCs/>
          <w:sz w:val="26"/>
          <w:szCs w:val="26"/>
        </w:rPr>
        <w:t xml:space="preserve">504,4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654,4) тыс. руб. при плановых ожиданиях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504,4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654,) тыс. руб. Расходы по этому подразделу направлены на субсидии юридическим лицам на возмещение части затрат организациям, пре</w:t>
      </w:r>
      <w:r>
        <w:rPr>
          <w:bCs/>
          <w:sz w:val="26"/>
          <w:szCs w:val="26"/>
        </w:rPr>
        <w:t xml:space="preserve">доставляющим населению банно-прачечные услуги, и на прочие мероприятия в области коммунального хозяйства.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По подразделу 0503</w:t>
      </w:r>
      <w:r>
        <w:rPr>
          <w:b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 xml:space="preserve">Благоустройство</w:t>
      </w:r>
      <w:r>
        <w:rPr>
          <w:bCs/>
          <w:sz w:val="26"/>
          <w:szCs w:val="26"/>
        </w:rPr>
        <w:t xml:space="preserve">» фактические расходы за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 составили </w:t>
      </w:r>
      <w:r>
        <w:rPr>
          <w:bCs/>
          <w:sz w:val="26"/>
          <w:szCs w:val="26"/>
        </w:rPr>
        <w:t xml:space="preserve">14779,5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(2024г.-10824,0</w:t>
      </w:r>
      <w:r>
        <w:rPr>
          <w:bCs/>
          <w:sz w:val="26"/>
          <w:szCs w:val="26"/>
        </w:rPr>
        <w:t xml:space="preserve">) тыс. руб., исполнено на 97,</w:t>
      </w: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 % от планируемых </w:t>
      </w: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5154,4 (2024г.-</w:t>
      </w:r>
      <w:r>
        <w:rPr>
          <w:bCs/>
          <w:sz w:val="26"/>
          <w:szCs w:val="26"/>
        </w:rPr>
        <w:t xml:space="preserve">11124,4</w:t>
      </w:r>
      <w:r>
        <w:rPr>
          <w:bCs/>
          <w:sz w:val="26"/>
          <w:szCs w:val="26"/>
        </w:rPr>
        <w:t xml:space="preserve">)</w:t>
      </w:r>
      <w:r>
        <w:rPr>
          <w:bCs/>
          <w:sz w:val="26"/>
          <w:szCs w:val="26"/>
        </w:rPr>
        <w:t xml:space="preserve"> тыс. руб.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Произведены расходы, в том числе по благоустройству: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55"/>
        <w:ind w:firstLine="709"/>
        <w:jc w:val="right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 xml:space="preserve">руб.</w:t>
      </w:r>
      <w:r>
        <w:rPr>
          <w:sz w:val="26"/>
          <w:szCs w:val="26"/>
        </w:rPr>
      </w:r>
    </w:p>
    <w:tbl>
      <w:tblPr>
        <w:tblW w:w="9653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20"/>
        <w:gridCol w:w="2020"/>
        <w:gridCol w:w="2313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Благоустройство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15 154 444,01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14 779 490,55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Реализация областного закона от 16.02.2024 №10-оз "О содействии участию населения в осуществлении местного самоуправлен</w:t>
            </w:r>
            <w:r>
              <w:rPr>
                <w:color w:val="000000"/>
                <w:sz w:val="24"/>
                <w:szCs w:val="24"/>
              </w:rPr>
              <w:t xml:space="preserve">ия в Ленинградской области"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3 331 697,00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3 331 697,00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Расходы на уличное освещение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2 400 000,00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2 238 385,00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Организация благоустройства территории поселения (за исключением осуществления дорожной деятельности, капитального ремонта (ремонта) дворовых</w:t>
            </w:r>
            <w:r>
              <w:rPr>
                <w:color w:val="000000"/>
                <w:sz w:val="24"/>
                <w:szCs w:val="24"/>
              </w:rPr>
              <w:t xml:space="preserve"> территорий и проездов к ним)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171 500,00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151 500,00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Организация сбора и вывоза бытовых отходов и мусора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2 960 106,67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2 960 106,67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Мероприятия, направленные на поддержку развития объектов общественной инфраструктуры, обеспечение устойчивого функционир</w:t>
            </w:r>
            <w:r>
              <w:rPr>
                <w:color w:val="000000"/>
                <w:sz w:val="24"/>
                <w:szCs w:val="24"/>
              </w:rPr>
              <w:t xml:space="preserve">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3 030 303,03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3 030 303,03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Реализация мероприятий направленных на борьбу с борщевиком Соснов</w:t>
            </w:r>
            <w:r>
              <w:rPr>
                <w:color w:val="000000"/>
                <w:sz w:val="24"/>
                <w:szCs w:val="24"/>
              </w:rPr>
              <w:t xml:space="preserve">ского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92 000,00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92 000,00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Расходы на уличное освещение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626,16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Организация и содержание мест захоронения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298 000,00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166 035,38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pStyle w:val="6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Расходы на прочие мероприятия по благоустройству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2 868 837,31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1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2 808 837,31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655"/>
        <w:ind w:firstLine="709"/>
        <w:jc w:val="both"/>
        <w:spacing w:after="60" w:line="252" w:lineRule="auto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Расходы </w:t>
      </w:r>
      <w:r>
        <w:rPr>
          <w:b/>
          <w:sz w:val="26"/>
          <w:szCs w:val="26"/>
        </w:rPr>
        <w:t xml:space="preserve">по разделу 0700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«Образовани</w:t>
      </w:r>
      <w:r>
        <w:rPr>
          <w:b/>
          <w:sz w:val="26"/>
          <w:szCs w:val="26"/>
        </w:rPr>
        <w:t xml:space="preserve">е»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году запланированы в сумме </w:t>
      </w:r>
      <w:r>
        <w:rPr>
          <w:sz w:val="26"/>
          <w:szCs w:val="26"/>
        </w:rPr>
        <w:t xml:space="preserve">70,0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69,2) тыс. руб., фактически составили </w:t>
      </w:r>
      <w:r>
        <w:rPr>
          <w:sz w:val="26"/>
          <w:szCs w:val="26"/>
        </w:rPr>
        <w:t xml:space="preserve">34,4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23,2) тыс. руб. Исполнение </w:t>
      </w:r>
      <w:r>
        <w:rPr>
          <w:sz w:val="26"/>
          <w:szCs w:val="26"/>
          <w:highlight w:val="none"/>
        </w:rPr>
        <w:t xml:space="preserve">49,1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%.</w:t>
      </w:r>
      <w:r>
        <w:rPr>
          <w:sz w:val="26"/>
          <w:szCs w:val="26"/>
        </w:rPr>
      </w:r>
    </w:p>
    <w:p>
      <w:pPr>
        <w:pStyle w:val="686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Расходы включают мероприятия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направленные на создание условий для профессионального развития и подготовки кадров муниципаль</w:t>
      </w:r>
      <w:r>
        <w:rPr>
          <w:sz w:val="26"/>
          <w:szCs w:val="26"/>
        </w:rPr>
        <w:t xml:space="preserve">ной службы в Администрации, стимулирование муниципальных служащих к обучению, повышению квалификации в сумме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4,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тыс. руб., на организацию и проведение мероприятий в области молодежной политики на сумму </w:t>
      </w:r>
      <w:r>
        <w:rPr>
          <w:sz w:val="26"/>
          <w:szCs w:val="26"/>
        </w:rPr>
        <w:t xml:space="preserve">20,0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86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По разделу 0800</w:t>
      </w:r>
      <w:r>
        <w:rPr>
          <w:b/>
          <w:sz w:val="26"/>
          <w:szCs w:val="26"/>
        </w:rPr>
        <w:t xml:space="preserve"> «Культура и кинематог</w:t>
      </w:r>
      <w:r>
        <w:rPr>
          <w:b/>
          <w:sz w:val="26"/>
          <w:szCs w:val="26"/>
        </w:rPr>
        <w:t xml:space="preserve">рафия» </w:t>
      </w:r>
      <w:r>
        <w:rPr>
          <w:sz w:val="26"/>
          <w:szCs w:val="26"/>
        </w:rPr>
        <w:t xml:space="preserve">планировались расходы в сумме</w:t>
      </w:r>
      <w:r>
        <w:rPr>
          <w:sz w:val="26"/>
          <w:szCs w:val="26"/>
        </w:rPr>
        <w:t xml:space="preserve"> 5257,9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4793,8) тыс. руб. Использованы в процессе исполнения бюджета за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4829,6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4626,0) тыс. руб. или 9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% от запланированных расходов. По сравнению с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годом расходы выросли на </w:t>
      </w:r>
      <w:r>
        <w:rPr>
          <w:sz w:val="26"/>
          <w:szCs w:val="26"/>
        </w:rPr>
        <w:t xml:space="preserve">203,6</w:t>
      </w:r>
      <w:r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По подразделу 0801</w:t>
      </w:r>
      <w:r>
        <w:rPr>
          <w:b/>
          <w:sz w:val="26"/>
          <w:szCs w:val="26"/>
          <w:highlight w:val="none"/>
        </w:rPr>
        <w:t xml:space="preserve"> «Культура» </w:t>
      </w:r>
      <w:r>
        <w:rPr>
          <w:sz w:val="26"/>
          <w:szCs w:val="26"/>
          <w:highlight w:val="none"/>
        </w:rPr>
        <w:t xml:space="preserve">плановые показатели составляют </w:t>
      </w:r>
      <w:r>
        <w:rPr>
          <w:sz w:val="26"/>
          <w:szCs w:val="26"/>
          <w:highlight w:val="none"/>
        </w:rPr>
        <w:t xml:space="preserve">5188,3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4638,2) тыс. руб., произведено расходов на сумму </w:t>
      </w:r>
      <w:r>
        <w:rPr>
          <w:sz w:val="26"/>
          <w:szCs w:val="26"/>
          <w:highlight w:val="none"/>
        </w:rPr>
        <w:t xml:space="preserve">4731,0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(2024г.-</w:t>
      </w:r>
      <w:r>
        <w:rPr>
          <w:sz w:val="26"/>
          <w:szCs w:val="26"/>
          <w:highlight w:val="none"/>
        </w:rPr>
        <w:t xml:space="preserve">4473,2) тыс. руб., средства использованы на 96,4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%. По сравнению фактическими показателями </w:t>
      </w:r>
      <w:r>
        <w:rPr>
          <w:sz w:val="26"/>
          <w:szCs w:val="26"/>
          <w:highlight w:val="none"/>
        </w:rPr>
        <w:t xml:space="preserve">202</w:t>
      </w:r>
      <w:r>
        <w:rPr>
          <w:sz w:val="26"/>
          <w:szCs w:val="26"/>
          <w:highlight w:val="none"/>
        </w:rPr>
        <w:t xml:space="preserve">4</w:t>
      </w:r>
      <w:r>
        <w:rPr>
          <w:sz w:val="26"/>
          <w:szCs w:val="26"/>
          <w:highlight w:val="none"/>
        </w:rPr>
        <w:t xml:space="preserve"> года имеется увеличе</w:t>
      </w:r>
      <w:r>
        <w:rPr>
          <w:sz w:val="26"/>
          <w:szCs w:val="26"/>
          <w:highlight w:val="none"/>
        </w:rPr>
        <w:t xml:space="preserve">ние расходов на </w:t>
      </w:r>
      <w:r>
        <w:rPr>
          <w:sz w:val="26"/>
          <w:szCs w:val="26"/>
          <w:highlight w:val="none"/>
        </w:rPr>
        <w:t xml:space="preserve">257,8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тыс. руб.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Расходы направлены на обеспечение де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тельности МУК «Центральный СДК д.Выстав».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По подразделу 0804</w:t>
      </w:r>
      <w:r>
        <w:rPr>
          <w:b/>
          <w:sz w:val="26"/>
          <w:szCs w:val="26"/>
        </w:rPr>
        <w:t xml:space="preserve"> «Другие вопросы в области культуры, кинематографии</w:t>
      </w:r>
      <w:r>
        <w:rPr>
          <w:b/>
          <w:bCs/>
          <w:sz w:val="26"/>
          <w:szCs w:val="26"/>
        </w:rPr>
        <w:t xml:space="preserve">»</w:t>
      </w:r>
      <w:r>
        <w:rPr>
          <w:bCs/>
          <w:sz w:val="26"/>
          <w:szCs w:val="26"/>
        </w:rPr>
        <w:t xml:space="preserve"> на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 предусмотрены ассигнования в сумме</w:t>
      </w:r>
      <w:r>
        <w:rPr>
          <w:bCs/>
          <w:sz w:val="26"/>
          <w:szCs w:val="26"/>
        </w:rPr>
        <w:t xml:space="preserve"> 99,6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 155,6) тыс. р</w:t>
      </w:r>
      <w:r>
        <w:rPr>
          <w:bCs/>
          <w:sz w:val="26"/>
          <w:szCs w:val="26"/>
        </w:rPr>
        <w:t xml:space="preserve">уб., исполнение составило 9</w:t>
      </w:r>
      <w:r>
        <w:rPr>
          <w:bCs/>
          <w:sz w:val="26"/>
          <w:szCs w:val="26"/>
        </w:rPr>
        <w:t xml:space="preserve">9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0</w:t>
      </w:r>
      <w:r>
        <w:rPr>
          <w:bCs/>
          <w:sz w:val="26"/>
          <w:szCs w:val="26"/>
        </w:rPr>
        <w:t xml:space="preserve"> % или </w:t>
      </w:r>
      <w:r>
        <w:rPr>
          <w:bCs/>
          <w:sz w:val="26"/>
          <w:szCs w:val="26"/>
        </w:rPr>
        <w:t xml:space="preserve">98,6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(2024г.-</w:t>
      </w:r>
      <w:r>
        <w:rPr>
          <w:bCs/>
          <w:sz w:val="26"/>
          <w:szCs w:val="26"/>
        </w:rPr>
        <w:t xml:space="preserve">152,8) тыс. руб. В сравнении с 202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г. расходы по подразделу 0804 у</w:t>
      </w:r>
      <w:r>
        <w:rPr>
          <w:bCs/>
          <w:sz w:val="26"/>
          <w:szCs w:val="26"/>
        </w:rPr>
        <w:t xml:space="preserve">меньшены</w:t>
      </w:r>
      <w:r>
        <w:rPr>
          <w:bCs/>
          <w:sz w:val="26"/>
          <w:szCs w:val="26"/>
        </w:rPr>
        <w:t xml:space="preserve"> на </w:t>
      </w:r>
      <w:r>
        <w:rPr>
          <w:bCs/>
          <w:sz w:val="26"/>
          <w:szCs w:val="26"/>
        </w:rPr>
        <w:t xml:space="preserve">54,2</w:t>
      </w:r>
      <w:r>
        <w:rPr>
          <w:bCs/>
          <w:sz w:val="26"/>
          <w:szCs w:val="26"/>
        </w:rPr>
        <w:t xml:space="preserve"> тыс. руб.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tabs>
          <w:tab w:val="left" w:pos="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Расходы в </w:t>
      </w:r>
      <w:r>
        <w:rPr>
          <w:bCs/>
          <w:sz w:val="26"/>
          <w:szCs w:val="26"/>
        </w:rPr>
        <w:t xml:space="preserve">2025</w:t>
      </w:r>
      <w:r>
        <w:rPr>
          <w:bCs/>
          <w:sz w:val="26"/>
          <w:szCs w:val="26"/>
        </w:rPr>
        <w:t xml:space="preserve"> году направлены на организацию и проведение мероприятий в сфере культуры в рамках подпрограммы «Ра</w:t>
      </w:r>
      <w:r>
        <w:rPr>
          <w:bCs/>
          <w:sz w:val="26"/>
          <w:szCs w:val="26"/>
        </w:rPr>
        <w:t xml:space="preserve">звитие культуры в МО Суховское сельское поселение» муниципальной программы «Развитие культуры, физической культуры и спорта в МО Суховское сельское поселение», на осуществление части полномочий поселений по созданию условий для организации досуга и обеспеч</w:t>
      </w:r>
      <w:r>
        <w:rPr>
          <w:bCs/>
          <w:sz w:val="26"/>
          <w:szCs w:val="26"/>
        </w:rPr>
        <w:t xml:space="preserve">ения жителей поселения услугами организации культуры.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Средства </w:t>
      </w:r>
      <w:r>
        <w:rPr>
          <w:b/>
          <w:bCs/>
          <w:sz w:val="26"/>
          <w:szCs w:val="26"/>
        </w:rPr>
        <w:t xml:space="preserve">по разделу 1000</w:t>
      </w:r>
      <w:r>
        <w:rPr>
          <w:b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 xml:space="preserve">Социальная политика» </w:t>
      </w:r>
      <w:r>
        <w:rPr>
          <w:bCs/>
          <w:sz w:val="26"/>
          <w:szCs w:val="26"/>
        </w:rPr>
        <w:t xml:space="preserve">планировалось использовать на </w:t>
      </w:r>
      <w:r>
        <w:rPr>
          <w:sz w:val="26"/>
          <w:szCs w:val="26"/>
        </w:rPr>
        <w:t xml:space="preserve">доплаты к пенсиям муниципальных служащих на сумму </w:t>
      </w:r>
      <w:r>
        <w:rPr>
          <w:sz w:val="26"/>
          <w:szCs w:val="26"/>
        </w:rPr>
        <w:t xml:space="preserve">1973,7 (2024г.-</w:t>
      </w:r>
      <w:r>
        <w:rPr>
          <w:sz w:val="26"/>
          <w:szCs w:val="26"/>
        </w:rPr>
        <w:t xml:space="preserve">727,1) тыс. руб., или </w:t>
      </w:r>
      <w:r>
        <w:rPr>
          <w:sz w:val="26"/>
          <w:szCs w:val="26"/>
        </w:rPr>
        <w:t xml:space="preserve">66,9</w:t>
      </w:r>
      <w:r>
        <w:rPr>
          <w:sz w:val="26"/>
          <w:szCs w:val="26"/>
        </w:rPr>
        <w:t xml:space="preserve"> %. Фактические расходы произведен</w:t>
      </w:r>
      <w:r>
        <w:rPr>
          <w:sz w:val="26"/>
          <w:szCs w:val="26"/>
        </w:rPr>
        <w:t xml:space="preserve">ы </w:t>
      </w:r>
      <w:r>
        <w:rPr>
          <w:bCs/>
          <w:sz w:val="26"/>
          <w:szCs w:val="26"/>
        </w:rPr>
        <w:t xml:space="preserve">на выплаты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доплат к пенсиям муниципальных служащих на сумму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1319,6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727,1)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pacing w:val="-6"/>
          <w:sz w:val="26"/>
          <w:szCs w:val="26"/>
        </w:rPr>
      </w:pPr>
      <w:r>
        <w:rPr>
          <w:b/>
          <w:bCs/>
          <w:sz w:val="26"/>
          <w:szCs w:val="26"/>
        </w:rPr>
        <w:t xml:space="preserve">По разделу 1100</w:t>
      </w:r>
      <w:r>
        <w:rPr>
          <w:b/>
          <w:sz w:val="26"/>
          <w:szCs w:val="26"/>
        </w:rPr>
        <w:t xml:space="preserve"> «Физическая культура и спорт» </w:t>
      </w:r>
      <w:r>
        <w:rPr>
          <w:sz w:val="26"/>
          <w:szCs w:val="26"/>
        </w:rPr>
        <w:t xml:space="preserve">плановая сумма расходов местного бюджета составляла </w:t>
      </w:r>
      <w:r>
        <w:rPr>
          <w:sz w:val="26"/>
          <w:szCs w:val="26"/>
        </w:rPr>
        <w:t xml:space="preserve">17,0 (</w:t>
      </w:r>
      <w:r>
        <w:rPr>
          <w:sz w:val="26"/>
          <w:szCs w:val="26"/>
        </w:rPr>
        <w:t xml:space="preserve">17,0) тыс. руб. Фактически по данному разделу использована </w:t>
      </w:r>
      <w:r>
        <w:rPr>
          <w:sz w:val="26"/>
          <w:szCs w:val="26"/>
        </w:rPr>
        <w:t xml:space="preserve">сумма 0,0 (202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г.-17,0) тыс. руб. Расходы по разделу 1100 запланированы, но не израсходованы на организацию и проведение мероприятий в области спорта и физической культуры в рамках </w:t>
      </w:r>
      <w:r>
        <w:rPr>
          <w:bCs/>
          <w:iCs/>
          <w:sz w:val="26"/>
          <w:szCs w:val="26"/>
        </w:rPr>
        <w:t xml:space="preserve">муниципальной программы </w:t>
      </w:r>
      <w:r>
        <w:rPr>
          <w:bCs/>
          <w:iCs/>
          <w:spacing w:val="-6"/>
          <w:sz w:val="26"/>
          <w:szCs w:val="26"/>
        </w:rPr>
        <w:t xml:space="preserve">«Развитие культуры, физической культуры и спорта в </w:t>
      </w:r>
      <w:r>
        <w:rPr>
          <w:bCs/>
          <w:iCs/>
          <w:spacing w:val="-6"/>
          <w:sz w:val="26"/>
          <w:szCs w:val="26"/>
        </w:rPr>
        <w:t xml:space="preserve">МО Суховское сельское поселение».</w:t>
      </w:r>
      <w:r>
        <w:rPr>
          <w:spacing w:val="-6"/>
          <w:sz w:val="26"/>
          <w:szCs w:val="26"/>
        </w:rPr>
      </w:r>
      <w:r>
        <w:rPr>
          <w:spacing w:val="-6"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iCs/>
          <w:color w:val="ff000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По разделу 1300 </w:t>
      </w:r>
      <w:r>
        <w:rPr>
          <w:b/>
          <w:sz w:val="26"/>
          <w:szCs w:val="26"/>
        </w:rPr>
        <w:t xml:space="preserve">«Обслуживание государственного и муниципального долга» </w:t>
      </w:r>
      <w:r>
        <w:rPr>
          <w:sz w:val="26"/>
          <w:szCs w:val="26"/>
        </w:rPr>
        <w:t xml:space="preserve">расходы в отчетном году планировались расходы 30,0 тыс. руб. Фактически использовано 0,0 тыс. руб.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из-за отсутствия долговых обязательств.</w:t>
      </w:r>
      <w:r>
        <w:rPr>
          <w:sz w:val="26"/>
          <w:szCs w:val="26"/>
        </w:rPr>
      </w:r>
    </w:p>
    <w:p>
      <w:pPr>
        <w:pStyle w:val="673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  <w:highlight w:val="none"/>
        </w:rPr>
        <w:t xml:space="preserve">МО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</w:rPr>
        <w:t xml:space="preserve">Суховс</w:t>
      </w:r>
      <w:r>
        <w:rPr>
          <w:sz w:val="26"/>
          <w:szCs w:val="26"/>
        </w:rPr>
        <w:t xml:space="preserve">кое сельское поселение утверждены и реализуются следующие муниципальные 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3"/>
        <w:ind w:firstLine="709"/>
        <w:jc w:val="both"/>
        <w:spacing w:after="0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652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472"/>
        <w:gridCol w:w="5057"/>
        <w:gridCol w:w="1984"/>
        <w:gridCol w:w="1119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8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</w:pPr>
            <w:r/>
            <w:r/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Наименования подпрограммы,</w:t>
            </w:r>
            <w:r/>
          </w:p>
          <w:p>
            <w:pPr>
              <w:pStyle w:val="689"/>
              <w:jc w:val="center"/>
            </w:pPr>
            <w:r>
              <w:t xml:space="preserve">проекта, структурного элемента, мероприятия</w:t>
            </w:r>
            <w:r/>
          </w:p>
          <w:p>
            <w:pPr>
              <w:pStyle w:val="689"/>
              <w:jc w:val="center"/>
            </w:pPr>
            <w:r>
              <w:t xml:space="preserve">(с указанием порядкового номера)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Объем финансирования            </w:t>
              <w:br w:type="textWrapping" w:clear="all"/>
              <w:t xml:space="preserve">на </w:t>
            </w:r>
            <w:r>
              <w:t xml:space="preserve">2025</w:t>
            </w:r>
            <w:r>
              <w:t xml:space="preserve"> год </w:t>
              <w:br w:type="textWrapping" w:clear="all"/>
              <w:t xml:space="preserve">(тыс. руб.)</w:t>
            </w:r>
            <w:r/>
          </w:p>
        </w:tc>
        <w:tc>
          <w:tcPr>
            <w:tcW w:w="1119" w:type="dxa"/>
            <w:vAlign w:val="top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Выпол-нено</w:t>
            </w:r>
            <w:r>
              <w:br w:type="textWrapping" w:clear="all"/>
              <w:t xml:space="preserve">(тыс. руб.)</w:t>
            </w:r>
            <w:r/>
          </w:p>
        </w:tc>
        <w:tc>
          <w:tcPr>
            <w:tcW w:w="1020" w:type="dxa"/>
            <w:vAlign w:val="top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% испол-нения 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«Безопасность муниципального образования Суховское сельское поселение Кировского муниципального района Ленинградской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2022-2026 годы» (КЦСР 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1085,6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1125,0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</w:t>
            </w:r>
            <w:r>
              <w:rPr>
                <w:bCs/>
                <w:color w:val="000000"/>
              </w:rPr>
            </w:r>
          </w:p>
        </w:tc>
        <w:tc>
          <w:tcPr>
            <w:tcW w:w="5057" w:type="dxa"/>
            <w:vAlign w:val="center"/>
            <w:textDirection w:val="lrTb"/>
            <w:noWrap w:val="false"/>
          </w:tcPr>
          <w:p>
            <w:pPr>
              <w:pStyle w:val="655"/>
              <w:rPr>
                <w:bCs/>
              </w:rPr>
            </w:pPr>
            <w:r>
              <w:rPr>
                <w:bCs/>
                <w:color w:val="000000"/>
              </w:rPr>
              <w:t xml:space="preserve">Муниципальная</w:t>
            </w:r>
            <w:r>
              <w:rPr>
                <w:bCs/>
                <w:color w:val="000000"/>
              </w:rPr>
              <w:t xml:space="preserve"> программа «Совершенствование и развитие автомобильных дорог муниципального образования Суховское сельское поселение Кировского муниципального района Ленинградской области на 2022-2026 годы» (КЦСР 16)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17083,9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16201,4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  <w:t xml:space="preserve">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«Обеспе</w:t>
            </w:r>
            <w:r>
              <w:rPr>
                <w:bCs/>
              </w:rPr>
              <w:t xml:space="preserve">чение повышения энергоэффективности в МО Суховское сельское поселение на 2022-2026 годы» (КЦСР 17)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/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/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муниципальной службы в администрации муниципального образования Суховское сельское поселение Кировского муниципальног</w:t>
            </w:r>
            <w:r>
              <w:rPr>
                <w:bCs/>
              </w:rPr>
              <w:t xml:space="preserve">о района Ленинградской области на 2022-2025 годы» (КЦСР18)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50,0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14,35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культуры, физической культуры и спорта в МО Суховское сельское поселение» (КЦСР 19)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5246,3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4771,0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«Устойчивое </w:t>
            </w:r>
            <w:r>
              <w:rPr>
                <w:bCs/>
              </w:rPr>
              <w:t xml:space="preserve">общественное развитие в муниципальном образовании Суховское сельское поселение Кировского муниципального района Ленинградской области на </w:t>
            </w:r>
            <w:r>
              <w:rPr>
                <w:bCs/>
              </w:rPr>
              <w:t xml:space="preserve">2025</w:t>
            </w:r>
            <w:r>
              <w:rPr>
                <w:bCs/>
              </w:rPr>
              <w:t xml:space="preserve"> год» (КЦСР 1</w:t>
            </w:r>
            <w:r>
              <w:rPr>
                <w:bCs/>
                <w:lang w:val="en-US"/>
              </w:rPr>
              <w:t xml:space="preserve">N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/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/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«Благоустройство территории муниципального образования Суховское сель</w:t>
            </w:r>
            <w:r>
              <w:rPr>
                <w:bCs/>
              </w:rPr>
              <w:t xml:space="preserve">ское поселение Кировского муниципального района Ленинградской области на 2022-2026 годы» (КЦСР 50)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8976,3</w:t>
            </w:r>
            <w:r>
              <w:t xml:space="preserve"> 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8794,7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«Содействие развитию части территории д.Сухое, являющейся административным центром муниципального образования </w:t>
            </w:r>
            <w:r>
              <w:rPr>
                <w:bCs/>
              </w:rPr>
              <w:t xml:space="preserve">Суховское сельское поселение Кировского муниципального района Ленинградской области на </w:t>
            </w:r>
            <w:r>
              <w:rPr>
                <w:bCs/>
              </w:rPr>
              <w:t xml:space="preserve">2025</w:t>
            </w:r>
            <w:r>
              <w:rPr>
                <w:bCs/>
              </w:rPr>
              <w:t xml:space="preserve"> год» (КЦСР 4И)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3941,7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3941,7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9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«Профилактика незаконного потребления наркотических средств и психотропных веществ, наркомании на терр</w:t>
            </w:r>
            <w:r>
              <w:rPr>
                <w:bCs/>
              </w:rPr>
              <w:t xml:space="preserve">итории муниципального образования Суховское сельское поселение Кировского муниципального района Ленинградской области на 2022-2025 годы» (КЦСР 4Н)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1,0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0,0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и поддержка малого и среднего предпринимательства в муницип</w:t>
            </w:r>
            <w:r>
              <w:rPr>
                <w:bCs/>
              </w:rPr>
              <w:t xml:space="preserve">альном образовании Суховское сельское поселение Кировского муниципального района Ленинградской области» (КЦСР 82)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7,0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5,0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Cs/>
              </w:rPr>
            </w:pPr>
            <w:r>
              <w:rPr>
                <w:bCs/>
              </w:rPr>
              <w:t xml:space="preserve">11</w:t>
            </w:r>
            <w:r>
              <w:rPr>
                <w:bCs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Cs/>
              </w:rPr>
            </w:pPr>
            <w:r>
              <w:rPr>
                <w:bCs/>
              </w:rPr>
              <w:t xml:space="preserve">Муниципальная программа «Борьба с борщевиком Сосновского на территории муниципального образования Суховское сельское поселени</w:t>
            </w:r>
            <w:r>
              <w:rPr>
                <w:bCs/>
              </w:rPr>
              <w:t xml:space="preserve">е Кировского муниципального района Ленинградской области на 2022-2026 годы» (КЦСР 97)</w:t>
            </w:r>
            <w:r>
              <w:rPr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92,0</w:t>
            </w:r>
            <w:r/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</w:pPr>
            <w:r>
              <w:t xml:space="preserve">92,0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/>
        </w:trPr>
        <w:tc>
          <w:tcPr>
            <w:tcW w:w="472" w:type="dxa"/>
            <w:vAlign w:val="top"/>
            <w:textDirection w:val="lrTb"/>
            <w:noWrap w:val="false"/>
          </w:tcPr>
          <w:p>
            <w:pPr>
              <w:pStyle w:val="689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057" w:type="dxa"/>
            <w:vAlign w:val="top"/>
            <w:textDirection w:val="lrTb"/>
            <w:noWrap w:val="false"/>
          </w:tcPr>
          <w:p>
            <w:pPr>
              <w:pStyle w:val="689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  <w:rPr>
                <w:b/>
              </w:rPr>
            </w:pPr>
            <w:r>
              <w:rPr>
                <w:b/>
              </w:rPr>
              <w:t xml:space="preserve">364</w:t>
            </w:r>
            <w:r>
              <w:rPr>
                <w:b/>
              </w:rPr>
              <w:t xml:space="preserve">83,</w:t>
            </w: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pStyle w:val="689"/>
              <w:jc w:val="center"/>
              <w:rPr>
                <w:b/>
              </w:rPr>
            </w:pPr>
            <w:r>
              <w:rPr>
                <w:b/>
              </w:rPr>
              <w:t xml:space="preserve">34945,2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rPr>
                <w:b/>
                <w:color w:val="000000"/>
                <w:highlight w:val="none"/>
              </w:rPr>
            </w:pPr>
            <w:r>
              <w:rPr>
                <w:b/>
                <w:color w:val="000000"/>
                <w:highlight w:val="none"/>
              </w:rPr>
              <w:t xml:space="preserve">95,8</w:t>
            </w:r>
            <w:r>
              <w:rPr>
                <w:b/>
                <w:color w:val="000000"/>
                <w:highlight w:val="none"/>
              </w:rPr>
            </w:r>
            <w:r>
              <w:rPr>
                <w:b/>
                <w:color w:val="000000"/>
                <w:highlight w:val="none"/>
              </w:rPr>
            </w:r>
          </w:p>
        </w:tc>
      </w:tr>
    </w:tbl>
    <w:p>
      <w:pPr>
        <w:pStyle w:val="673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3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Программная часть бюджета предусмотрена в сумме </w:t>
      </w:r>
      <w:r>
        <w:rPr>
          <w:sz w:val="26"/>
          <w:szCs w:val="26"/>
        </w:rPr>
        <w:t xml:space="preserve">36483,8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</w:rPr>
        <w:t xml:space="preserve">31550,2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тыс. руб. Исполнена на сумму </w:t>
      </w:r>
      <w:r>
        <w:rPr>
          <w:sz w:val="26"/>
          <w:szCs w:val="26"/>
        </w:rPr>
        <w:t xml:space="preserve">34945,2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2024г.-</w:t>
      </w:r>
      <w:r>
        <w:rPr>
          <w:sz w:val="26"/>
          <w:szCs w:val="26"/>
        </w:rPr>
        <w:t xml:space="preserve">290</w:t>
      </w:r>
      <w:r>
        <w:rPr>
          <w:sz w:val="26"/>
          <w:szCs w:val="26"/>
        </w:rPr>
        <w:t xml:space="preserve">00,2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тыс. руб. или </w:t>
      </w:r>
      <w:r>
        <w:rPr>
          <w:sz w:val="26"/>
          <w:szCs w:val="26"/>
          <w:highlight w:val="none"/>
        </w:rPr>
        <w:t xml:space="preserve">95,8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%.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Утвержденная сумма по расходам за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56360,5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</w:t>
      </w:r>
      <w:r>
        <w:rPr>
          <w:sz w:val="26"/>
          <w:szCs w:val="26"/>
        </w:rPr>
        <w:t xml:space="preserve">52638,3) тыс. руб., фактически исполнено по расходам </w:t>
      </w:r>
      <w:r>
        <w:rPr>
          <w:sz w:val="26"/>
          <w:szCs w:val="26"/>
        </w:rPr>
        <w:t xml:space="preserve">52773,05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(2024г.-</w:t>
      </w:r>
      <w:r>
        <w:rPr>
          <w:sz w:val="26"/>
          <w:szCs w:val="26"/>
          <w:highlight w:val="yellow"/>
        </w:rPr>
      </w:r>
      <w:r>
        <w:rPr>
          <w:sz w:val="26"/>
          <w:szCs w:val="26"/>
        </w:rPr>
        <w:t xml:space="preserve">47008,0</w:t>
      </w:r>
      <w:r/>
      <w:r>
        <w:rPr>
          <w:sz w:val="26"/>
          <w:szCs w:val="26"/>
          <w:highlight w:val="yellow"/>
        </w:rPr>
      </w:r>
      <w:r>
        <w:rPr>
          <w:sz w:val="26"/>
          <w:szCs w:val="26"/>
        </w:rPr>
        <w:t xml:space="preserve">) тыс. руб.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При исполнении бюджета </w:t>
      </w:r>
      <w:r>
        <w:rPr>
          <w:sz w:val="26"/>
          <w:szCs w:val="26"/>
        </w:rPr>
        <w:t xml:space="preserve">про</w:t>
      </w:r>
      <w:r>
        <w:rPr>
          <w:sz w:val="26"/>
          <w:szCs w:val="26"/>
        </w:rPr>
        <w:t xml:space="preserve">фицит в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году составил </w:t>
      </w:r>
      <w:r>
        <w:rPr>
          <w:sz w:val="26"/>
          <w:szCs w:val="26"/>
        </w:rPr>
        <w:t xml:space="preserve">6429,6</w:t>
      </w:r>
      <w:r>
        <w:rPr>
          <w:sz w:val="26"/>
          <w:szCs w:val="26"/>
        </w:rPr>
        <w:t xml:space="preserve"> тыс. руб.</w:t>
      </w:r>
      <w:r>
        <w:rPr>
          <w:sz w:val="26"/>
          <w:szCs w:val="26"/>
        </w:rPr>
      </w:r>
    </w:p>
    <w:p>
      <w:pPr>
        <w:pStyle w:val="669"/>
        <w:ind w:firstLine="709"/>
        <w:jc w:val="center"/>
        <w:spacing w:after="60" w:line="252" w:lineRule="auto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669"/>
        <w:ind w:firstLine="709"/>
        <w:jc w:val="center"/>
        <w:spacing w:after="180" w:line="25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Годовая бюдж</w:t>
      </w:r>
      <w:r>
        <w:rPr>
          <w:b/>
          <w:sz w:val="26"/>
          <w:szCs w:val="26"/>
        </w:rPr>
        <w:t xml:space="preserve">етная отчетность</w:t>
      </w:r>
      <w:r>
        <w:rPr>
          <w:b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Годовая бюджетная отчетность за </w:t>
      </w:r>
      <w:r>
        <w:rPr>
          <w:b/>
          <w:bCs/>
          <w:sz w:val="26"/>
          <w:szCs w:val="26"/>
        </w:rPr>
        <w:t xml:space="preserve">2025</w:t>
      </w:r>
      <w:r>
        <w:rPr>
          <w:b/>
          <w:bCs/>
          <w:sz w:val="26"/>
          <w:szCs w:val="26"/>
        </w:rPr>
        <w:t xml:space="preserve"> год </w:t>
      </w:r>
      <w:r>
        <w:rPr>
          <w:bCs/>
          <w:sz w:val="26"/>
          <w:szCs w:val="26"/>
        </w:rPr>
        <w:t xml:space="preserve">МО </w:t>
      </w:r>
      <w:r>
        <w:rPr>
          <w:sz w:val="26"/>
          <w:szCs w:val="26"/>
        </w:rPr>
        <w:t xml:space="preserve">Суховское сельское поселение</w:t>
      </w:r>
      <w:r>
        <w:rPr>
          <w:bCs/>
          <w:sz w:val="26"/>
          <w:szCs w:val="26"/>
        </w:rPr>
        <w:t xml:space="preserve"> представлена в контрольно-счетный орган в законодательно установленный срок.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Годовая бюджетная отчетность составлена в соответствии с требованиями Инструкции о порядк</w:t>
      </w:r>
      <w:r>
        <w:rPr>
          <w:sz w:val="26"/>
          <w:szCs w:val="26"/>
        </w:rPr>
        <w:t xml:space="preserve">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№ 191н (с изменениями).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Статьей 264.1 Бюджетного кодекса РФ определено, ч</w:t>
      </w:r>
      <w:r>
        <w:rPr>
          <w:sz w:val="26"/>
          <w:szCs w:val="26"/>
        </w:rPr>
        <w:t xml:space="preserve">то бюджетная отчетность включает в себя: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1) отчет об исполнении бюджета;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2) баланс исполнения бюджета;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3) отчет о финансовых результатах деятельности;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4) отчет о движении денежных средств;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5) пояснительную записку (с приложениями к ней).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проверке контр</w:t>
      </w:r>
      <w:r>
        <w:rPr>
          <w:bCs/>
          <w:sz w:val="26"/>
          <w:szCs w:val="26"/>
        </w:rPr>
        <w:t xml:space="preserve">ольных соотношений между показателями форм бюджетной отчетности несоответствия показателей не установлено.</w:t>
      </w:r>
      <w:r>
        <w:rPr>
          <w:bCs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pStyle w:val="655"/>
        <w:ind w:firstLine="709"/>
        <w:jc w:val="center"/>
        <w:spacing w:after="60" w:line="25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Выводы</w:t>
      </w:r>
      <w:r>
        <w:rPr>
          <w:b/>
          <w:bCs/>
          <w:sz w:val="26"/>
          <w:szCs w:val="26"/>
        </w:rPr>
      </w:r>
    </w:p>
    <w:p>
      <w:pPr>
        <w:pStyle w:val="677"/>
        <w:ind w:firstLine="709"/>
        <w:jc w:val="both"/>
        <w:spacing w:after="60" w:line="252" w:lineRule="auto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Отчет об исполнении бюджета муниципального образования Суховское сельское поселение Кировского муниципального района Ленинградской области</w:t>
      </w:r>
      <w:r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 xml:space="preserve">2025</w:t>
      </w:r>
      <w:r>
        <w:rPr>
          <w:rFonts w:ascii="Times New Roman" w:hAnsi="Times New Roman"/>
          <w:sz w:val="26"/>
          <w:szCs w:val="26"/>
        </w:rPr>
        <w:t xml:space="preserve"> год содержит данные об исполнении бюджета муниципального образования Суховское сельское поселение Кировского муниципального района Ленинградской по доходам, расходам и источникам финансирования дефицита бюджета МО Суховское сельское поселение в со</w:t>
      </w:r>
      <w:r>
        <w:rPr>
          <w:rFonts w:ascii="Times New Roman" w:hAnsi="Times New Roman"/>
          <w:sz w:val="26"/>
          <w:szCs w:val="26"/>
        </w:rPr>
        <w:t xml:space="preserve">ответствии с бюджетной классификацией Российской Федерации.</w:t>
      </w:r>
      <w:r>
        <w:rPr>
          <w:rFonts w:ascii="Times New Roman" w:hAnsi="Times New Roman"/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Документы и материалы представлены в сроки, установленные Бюджетным кодексом Российской Федерации и Положением о бюджетном процессе в муниципальном образовании Суховское сельское поселение Кировск</w:t>
      </w:r>
      <w:r>
        <w:rPr>
          <w:sz w:val="26"/>
          <w:szCs w:val="26"/>
        </w:rPr>
        <w:t xml:space="preserve">ого муниципального района Ленинградской области. В процессе исполнения бюджета администрацией поселения своевременно вносились изменения, дополнения. Состав документов и материалов соответствует действующему Бюджетному законодательству, Положению о бюджетн</w:t>
      </w:r>
      <w:r>
        <w:rPr>
          <w:sz w:val="26"/>
          <w:szCs w:val="26"/>
        </w:rPr>
        <w:t xml:space="preserve">ом процессе и нормативно-правовым актам муниципального образования Суховское сельское поселение Кировского муниципального района Ленинградской области.</w:t>
      </w:r>
      <w:r>
        <w:rPr>
          <w:sz w:val="26"/>
          <w:szCs w:val="26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2. Проект исполнения бюджета за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 год предлагается утвердить </w:t>
      </w:r>
      <w:r>
        <w:rPr>
          <w:b/>
          <w:sz w:val="26"/>
          <w:szCs w:val="26"/>
        </w:rPr>
        <w:t xml:space="preserve">по доходам</w:t>
      </w:r>
      <w:r>
        <w:rPr>
          <w:sz w:val="26"/>
          <w:szCs w:val="26"/>
        </w:rPr>
        <w:t xml:space="preserve"> сумме </w:t>
      </w:r>
      <w:r>
        <w:rPr>
          <w:sz w:val="26"/>
          <w:szCs w:val="26"/>
        </w:rPr>
        <w:t xml:space="preserve">59202,7</w:t>
      </w:r>
      <w:r>
        <w:rPr>
          <w:sz w:val="26"/>
          <w:szCs w:val="26"/>
        </w:rPr>
        <w:t xml:space="preserve"> тыс. рублей, </w:t>
      </w:r>
      <w:r>
        <w:rPr>
          <w:b/>
          <w:sz w:val="26"/>
          <w:szCs w:val="26"/>
        </w:rPr>
        <w:t xml:space="preserve">по</w:t>
      </w:r>
      <w:r>
        <w:rPr>
          <w:b/>
          <w:sz w:val="26"/>
          <w:szCs w:val="26"/>
        </w:rPr>
        <w:t xml:space="preserve"> расходам</w:t>
      </w:r>
      <w:r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 xml:space="preserve">52773,05</w:t>
      </w:r>
      <w:r>
        <w:rPr>
          <w:sz w:val="26"/>
          <w:szCs w:val="26"/>
        </w:rPr>
        <w:t xml:space="preserve"> тыс. рублей, </w:t>
      </w:r>
      <w:r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 xml:space="preserve">про</w:t>
      </w:r>
      <w:r>
        <w:rPr>
          <w:b/>
          <w:sz w:val="26"/>
          <w:szCs w:val="26"/>
        </w:rPr>
        <w:t xml:space="preserve">фицитом бюджета</w:t>
      </w:r>
      <w:r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 xml:space="preserve">6429,6</w:t>
      </w:r>
      <w:r>
        <w:rPr>
          <w:sz w:val="26"/>
          <w:szCs w:val="26"/>
        </w:rPr>
        <w:t xml:space="preserve"> тыс. рублей.</w:t>
      </w:r>
      <w:r>
        <w:rPr>
          <w:sz w:val="26"/>
          <w:szCs w:val="26"/>
        </w:rPr>
      </w:r>
    </w:p>
    <w:p>
      <w:pPr>
        <w:pStyle w:val="673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3. </w:t>
      </w:r>
      <w:r>
        <w:rPr>
          <w:sz w:val="26"/>
          <w:szCs w:val="26"/>
          <w:highlight w:val="none"/>
        </w:rPr>
        <w:t xml:space="preserve">Программная часть бюджета предусмотрена в сумме 36483,8 </w:t>
      </w:r>
      <w:r>
        <w:rPr>
          <w:sz w:val="26"/>
          <w:szCs w:val="26"/>
          <w:highlight w:val="none"/>
        </w:rPr>
        <w:t xml:space="preserve">(2024г.-31550,2) тыс. руб. Исполнена на сумму 34945,2 </w:t>
      </w:r>
      <w:r>
        <w:rPr>
          <w:sz w:val="26"/>
          <w:szCs w:val="26"/>
          <w:highlight w:val="none"/>
        </w:rPr>
        <w:t xml:space="preserve">(2024г.-29000,2) тыс. руб. или </w:t>
      </w:r>
      <w:r>
        <w:rPr>
          <w:sz w:val="26"/>
          <w:szCs w:val="26"/>
          <w:highlight w:val="none"/>
        </w:rPr>
        <w:t xml:space="preserve">96,</w:t>
      </w:r>
      <w:r>
        <w:rPr>
          <w:sz w:val="26"/>
          <w:szCs w:val="26"/>
          <w:highlight w:val="none"/>
        </w:rPr>
        <w:t xml:space="preserve">8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%.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73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4. Долговых </w:t>
      </w:r>
      <w:r>
        <w:rPr>
          <w:sz w:val="26"/>
          <w:szCs w:val="26"/>
          <w:highlight w:val="none"/>
        </w:rPr>
        <w:t xml:space="preserve">обязательств МО Суховское сельское поселение Кировского муниципального района Ленинградской области по состоянию на </w:t>
      </w:r>
      <w:r>
        <w:rPr>
          <w:sz w:val="26"/>
          <w:szCs w:val="26"/>
          <w:highlight w:val="none"/>
        </w:rPr>
        <w:t xml:space="preserve">01.01.202</w:t>
      </w:r>
      <w:r>
        <w:rPr>
          <w:sz w:val="26"/>
          <w:szCs w:val="26"/>
          <w:highlight w:val="none"/>
        </w:rPr>
        <w:t xml:space="preserve">6</w:t>
      </w:r>
      <w:r>
        <w:rPr>
          <w:sz w:val="26"/>
          <w:szCs w:val="26"/>
          <w:highlight w:val="none"/>
        </w:rPr>
        <w:t xml:space="preserve"> не имеет.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5. Состав годовой бюджетной отчетности соответствует перечню и формам Инструкции о порядке составления и представления </w:t>
      </w:r>
      <w:r>
        <w:rPr>
          <w:sz w:val="26"/>
          <w:szCs w:val="26"/>
          <w:highlight w:val="none"/>
        </w:rPr>
        <w:t xml:space="preserve">годовой, квартальной и месячной бюджетной отчетности об исполнении бюджетов бюджетной системы Российской Федерации, утвержденной Приказом Минфина России от 28.12.2010 №191н и статьей 264.1 Бюджетного кодекса РФ.</w:t>
      </w:r>
      <w:r>
        <w:rPr>
          <w:sz w:val="26"/>
          <w:szCs w:val="26"/>
          <w:highlight w:val="none"/>
        </w:rPr>
      </w:r>
    </w:p>
    <w:p>
      <w:pPr>
        <w:pStyle w:val="655"/>
        <w:ind w:firstLine="709"/>
        <w:jc w:val="both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При проверке контрольных соотношений между п</w:t>
      </w:r>
      <w:r>
        <w:rPr>
          <w:sz w:val="26"/>
          <w:szCs w:val="26"/>
          <w:highlight w:val="none"/>
        </w:rPr>
        <w:t xml:space="preserve">оказателями форм бюджетной отчетности несоответствия показателей не установлено. По результатам проверки годовой отчетности главных администраторов бюджетных средств приписок и искажений отчетности не выявлено.</w:t>
      </w:r>
      <w:r>
        <w:rPr>
          <w:sz w:val="26"/>
          <w:szCs w:val="26"/>
          <w:highlight w:val="none"/>
        </w:rPr>
      </w:r>
    </w:p>
    <w:p>
      <w:pPr>
        <w:pStyle w:val="669"/>
        <w:ind w:firstLine="709"/>
        <w:spacing w:after="60" w:line="252" w:lineRule="auto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6.</w:t>
      </w:r>
      <w:r>
        <w:rPr>
          <w:b/>
          <w:sz w:val="26"/>
          <w:szCs w:val="26"/>
          <w:highlight w:val="none"/>
        </w:rPr>
        <w:t xml:space="preserve"> Рекомендовать принять к утверждению</w:t>
      </w:r>
      <w:r>
        <w:rPr>
          <w:sz w:val="26"/>
          <w:szCs w:val="26"/>
          <w:highlight w:val="none"/>
        </w:rPr>
        <w:t xml:space="preserve"> проект</w:t>
      </w:r>
      <w:r>
        <w:rPr>
          <w:sz w:val="26"/>
          <w:szCs w:val="26"/>
          <w:highlight w:val="none"/>
        </w:rPr>
        <w:t xml:space="preserve"> решения «Об итогах исполнения бюджета </w:t>
      </w:r>
      <w:r>
        <w:rPr>
          <w:sz w:val="26"/>
          <w:szCs w:val="26"/>
          <w:highlight w:val="none"/>
        </w:rPr>
        <w:t xml:space="preserve">муниципального образования</w:t>
      </w:r>
      <w:r>
        <w:rPr>
          <w:sz w:val="26"/>
          <w:szCs w:val="26"/>
          <w:highlight w:val="none"/>
        </w:rPr>
        <w:t xml:space="preserve"> Суховское сельское поселение Кировского муниципального района Ленинградской области за </w:t>
      </w:r>
      <w:r>
        <w:rPr>
          <w:sz w:val="26"/>
          <w:szCs w:val="26"/>
          <w:highlight w:val="none"/>
        </w:rPr>
        <w:t xml:space="preserve">2025</w:t>
      </w:r>
      <w:r>
        <w:rPr>
          <w:sz w:val="26"/>
          <w:szCs w:val="26"/>
          <w:highlight w:val="none"/>
        </w:rPr>
        <w:t xml:space="preserve"> год».</w:t>
      </w:r>
      <w:r>
        <w:rPr>
          <w:sz w:val="26"/>
          <w:szCs w:val="26"/>
          <w:highlight w:val="none"/>
        </w:rPr>
      </w:r>
    </w:p>
    <w:p>
      <w:pPr>
        <w:pStyle w:val="673"/>
        <w:ind w:firstLine="709"/>
        <w:jc w:val="both"/>
        <w:spacing w:after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73"/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3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КСП</w:t>
      </w:r>
      <w:r>
        <w:rPr>
          <w:sz w:val="26"/>
          <w:szCs w:val="26"/>
        </w:rPr>
      </w:r>
    </w:p>
    <w:p>
      <w:pPr>
        <w:pStyle w:val="673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Кировского муниципального района</w:t>
        <w:tab/>
        <w:tab/>
        <w:tab/>
        <w:tab/>
        <w:tab/>
        <w:tab/>
        <w:t xml:space="preserve">Н.И. Рабынина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0" w:right="850" w:bottom="850" w:left="1417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"/>
      <w:jc w:val="right"/>
    </w:pPr>
    <w:fldSimple w:instr="PAGE \* MERGEFORMAT">
      <w:r>
        <w:t xml:space="preserve">1</w:t>
      </w:r>
    </w:fldSimple>
    <w:r/>
    <w:r/>
    <w:r/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rPr>
        <w:rStyle w:val="661"/>
      </w:rPr>
      <w:framePr w:wrap="around" w:vAnchor="text" w:hAnchor="margin" w:xAlign="right" w:y="1"/>
    </w:pPr>
    <w:r>
      <w:rPr>
        <w:rStyle w:val="661"/>
      </w:rPr>
      <w:fldChar w:fldCharType="begin"/>
    </w:r>
    <w:r>
      <w:rPr>
        <w:rStyle w:val="661"/>
      </w:rPr>
      <w:instrText xml:space="preserve">PAGE  </w:instrText>
    </w:r>
    <w:r>
      <w:rPr>
        <w:rStyle w:val="661"/>
      </w:rPr>
      <w:fldChar w:fldCharType="end"/>
    </w:r>
    <w:r>
      <w:rPr>
        <w:rStyle w:val="661"/>
      </w:rPr>
    </w:r>
    <w:r>
      <w:rPr>
        <w:rStyle w:val="661"/>
      </w:rPr>
    </w:r>
  </w:p>
  <w:p>
    <w:pPr>
      <w:pStyle w:val="67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20" w:hanging="420"/>
        <w:tabs>
          <w:tab w:val="num" w:pos="420" w:leader="none"/>
        </w:tabs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5"/>
    <w:next w:val="65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5"/>
    <w:next w:val="65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5"/>
    <w:next w:val="65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5"/>
    <w:next w:val="65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5"/>
    <w:next w:val="65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5"/>
    <w:next w:val="65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5"/>
    <w:next w:val="65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5"/>
    <w:next w:val="65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5"/>
    <w:next w:val="65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5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5"/>
    <w:next w:val="655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55"/>
    <w:next w:val="65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55"/>
    <w:next w:val="65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5"/>
    <w:next w:val="65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5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5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55"/>
    <w:next w:val="65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next w:val="655"/>
    <w:link w:val="655"/>
    <w:qFormat/>
    <w:rPr>
      <w:sz w:val="24"/>
      <w:szCs w:val="24"/>
      <w:lang w:val="ru-RU" w:eastAsia="ru-RU" w:bidi="ar-SA"/>
    </w:rPr>
  </w:style>
  <w:style w:type="paragraph" w:styleId="656">
    <w:name w:val="Заголовок 2"/>
    <w:basedOn w:val="655"/>
    <w:next w:val="655"/>
    <w:link w:val="660"/>
    <w:qFormat/>
    <w:pPr>
      <w:jc w:val="center"/>
      <w:keepNext/>
      <w:outlineLvl w:val="1"/>
    </w:pPr>
    <w:rPr>
      <w:b/>
      <w:sz w:val="28"/>
      <w:szCs w:val="20"/>
    </w:rPr>
  </w:style>
  <w:style w:type="character" w:styleId="657">
    <w:name w:val="Основной шрифт абзаца"/>
    <w:next w:val="657"/>
    <w:link w:val="655"/>
    <w:semiHidden/>
  </w:style>
  <w:style w:type="table" w:styleId="658">
    <w:name w:val="Обычная таблица"/>
    <w:next w:val="658"/>
    <w:link w:val="655"/>
    <w:semiHidden/>
    <w:tblPr/>
  </w:style>
  <w:style w:type="numbering" w:styleId="659">
    <w:name w:val="Нет списка"/>
    <w:next w:val="659"/>
    <w:link w:val="655"/>
    <w:uiPriority w:val="99"/>
    <w:semiHidden/>
    <w:unhideWhenUsed/>
  </w:style>
  <w:style w:type="character" w:styleId="660">
    <w:name w:val="Заголовок 2 Знак"/>
    <w:next w:val="660"/>
    <w:link w:val="656"/>
    <w:rPr>
      <w:b/>
      <w:sz w:val="28"/>
    </w:rPr>
  </w:style>
  <w:style w:type="character" w:styleId="661">
    <w:name w:val="Номер страницы"/>
    <w:next w:val="661"/>
    <w:link w:val="655"/>
  </w:style>
  <w:style w:type="paragraph" w:styleId="662">
    <w:name w:val="Текст выноски"/>
    <w:basedOn w:val="655"/>
    <w:next w:val="662"/>
    <w:link w:val="663"/>
    <w:semiHidden/>
    <w:rPr>
      <w:rFonts w:ascii="Tahoma" w:hAnsi="Tahoma" w:cs="Tahoma"/>
      <w:sz w:val="16"/>
      <w:szCs w:val="16"/>
    </w:rPr>
  </w:style>
  <w:style w:type="character" w:styleId="663">
    <w:name w:val="Текст выноски Знак"/>
    <w:next w:val="663"/>
    <w:link w:val="662"/>
    <w:semiHidden/>
    <w:rPr>
      <w:rFonts w:ascii="Tahoma" w:hAnsi="Tahoma" w:cs="Tahoma"/>
      <w:sz w:val="16"/>
      <w:szCs w:val="16"/>
    </w:rPr>
  </w:style>
  <w:style w:type="paragraph" w:styleId="664">
    <w:name w:val="Основной текст с отступом 3"/>
    <w:basedOn w:val="655"/>
    <w:next w:val="664"/>
    <w:link w:val="665"/>
    <w:unhideWhenUsed/>
    <w:pPr>
      <w:ind w:left="283"/>
      <w:spacing w:after="120"/>
    </w:pPr>
    <w:rPr>
      <w:sz w:val="16"/>
      <w:szCs w:val="16"/>
    </w:rPr>
  </w:style>
  <w:style w:type="character" w:styleId="665">
    <w:name w:val="Основной текст с отступом 3 Знак"/>
    <w:next w:val="665"/>
    <w:link w:val="664"/>
    <w:rPr>
      <w:sz w:val="16"/>
      <w:szCs w:val="16"/>
    </w:rPr>
  </w:style>
  <w:style w:type="paragraph" w:styleId="666">
    <w:name w:val="Схема документа"/>
    <w:basedOn w:val="655"/>
    <w:next w:val="666"/>
    <w:link w:val="66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667">
    <w:name w:val="Схема документа Знак"/>
    <w:next w:val="667"/>
    <w:link w:val="666"/>
    <w:semiHidden/>
    <w:rPr>
      <w:rFonts w:ascii="Tahoma" w:hAnsi="Tahoma" w:cs="Tahoma"/>
      <w:shd w:val="clear" w:color="auto" w:fill="000080"/>
    </w:rPr>
  </w:style>
  <w:style w:type="paragraph" w:styleId="668">
    <w:name w:val="Верхний колонтитул"/>
    <w:basedOn w:val="655"/>
    <w:next w:val="668"/>
    <w:link w:val="655"/>
    <w:pPr>
      <w:tabs>
        <w:tab w:val="center" w:pos="4153" w:leader="none"/>
        <w:tab w:val="right" w:pos="8306" w:leader="none"/>
      </w:tabs>
    </w:pPr>
  </w:style>
  <w:style w:type="paragraph" w:styleId="669">
    <w:name w:val="Основной текст с отступом"/>
    <w:basedOn w:val="655"/>
    <w:next w:val="669"/>
    <w:link w:val="670"/>
    <w:unhideWhenUsed/>
    <w:pPr>
      <w:ind w:firstLine="720"/>
      <w:jc w:val="both"/>
      <w:widowControl w:val="off"/>
    </w:pPr>
    <w:rPr>
      <w:sz w:val="28"/>
      <w:szCs w:val="20"/>
    </w:rPr>
  </w:style>
  <w:style w:type="character" w:styleId="670">
    <w:name w:val="Основной текст с отступом Знак1"/>
    <w:next w:val="670"/>
    <w:link w:val="669"/>
    <w:rPr>
      <w:sz w:val="24"/>
      <w:szCs w:val="24"/>
    </w:rPr>
  </w:style>
  <w:style w:type="paragraph" w:styleId="671">
    <w:name w:val="Нижний колонтитул"/>
    <w:basedOn w:val="655"/>
    <w:next w:val="671"/>
    <w:link w:val="672"/>
    <w:pPr>
      <w:tabs>
        <w:tab w:val="center" w:pos="4677" w:leader="none"/>
        <w:tab w:val="right" w:pos="9355" w:leader="none"/>
      </w:tabs>
    </w:pPr>
  </w:style>
  <w:style w:type="character" w:styleId="672">
    <w:name w:val="Нижний колонтитул Знак"/>
    <w:next w:val="672"/>
    <w:link w:val="671"/>
    <w:rPr>
      <w:sz w:val="24"/>
      <w:szCs w:val="24"/>
    </w:rPr>
  </w:style>
  <w:style w:type="paragraph" w:styleId="673">
    <w:name w:val="Обычный (веб)"/>
    <w:basedOn w:val="655"/>
    <w:next w:val="673"/>
    <w:link w:val="655"/>
    <w:unhideWhenUsed/>
    <w:pPr>
      <w:spacing w:after="120"/>
    </w:pPr>
  </w:style>
  <w:style w:type="table" w:styleId="674">
    <w:name w:val="Сетка таблицы"/>
    <w:basedOn w:val="658"/>
    <w:next w:val="674"/>
    <w:link w:val="655"/>
    <w:tblPr/>
  </w:style>
  <w:style w:type="character" w:styleId="675">
    <w:name w:val="Основной текст с отступом Знак,Основной текст 1 Знак,Надин стиль Знак,Нумерованный список !! Знак,Iniiaiie oaeno 1 Знак,Ioia?iaaiiue nienie !! Знак,Iaaei noeeu Знак"/>
    <w:next w:val="675"/>
    <w:link w:val="669"/>
    <w:rPr>
      <w:sz w:val="28"/>
    </w:rPr>
  </w:style>
  <w:style w:type="paragraph" w:styleId="676">
    <w:name w:val="Мой стиль"/>
    <w:basedOn w:val="655"/>
    <w:next w:val="676"/>
    <w:link w:val="655"/>
    <w:pPr>
      <w:jc w:val="both"/>
      <w:spacing w:after="120"/>
    </w:pPr>
    <w:rPr>
      <w:szCs w:val="20"/>
    </w:rPr>
  </w:style>
  <w:style w:type="paragraph" w:styleId="677">
    <w:name w:val="ConsNormal"/>
    <w:next w:val="677"/>
    <w:link w:val="65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8">
    <w:name w:val=" Знак"/>
    <w:basedOn w:val="655"/>
    <w:next w:val="678"/>
    <w:link w:val="6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79">
    <w:name w:val=" Знак Знак"/>
    <w:basedOn w:val="655"/>
    <w:next w:val="679"/>
    <w:link w:val="6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80">
    <w:name w:val="Style1"/>
    <w:basedOn w:val="655"/>
    <w:next w:val="680"/>
    <w:link w:val="655"/>
    <w:pPr>
      <w:jc w:val="center"/>
      <w:spacing w:line="324" w:lineRule="exact"/>
      <w:widowControl w:val="off"/>
    </w:pPr>
  </w:style>
  <w:style w:type="character" w:styleId="681">
    <w:name w:val="Font Style61"/>
    <w:next w:val="681"/>
    <w:link w:val="655"/>
    <w:rPr>
      <w:rFonts w:ascii="Times New Roman" w:hAnsi="Times New Roman" w:cs="Times New Roman"/>
      <w:b/>
      <w:bCs/>
      <w:sz w:val="26"/>
      <w:szCs w:val="26"/>
    </w:rPr>
  </w:style>
  <w:style w:type="character" w:styleId="682">
    <w:name w:val="Слабое выделение"/>
    <w:next w:val="682"/>
    <w:link w:val="655"/>
    <w:uiPriority w:val="19"/>
    <w:qFormat/>
    <w:rPr>
      <w:i/>
      <w:iCs/>
      <w:color w:val="808080"/>
    </w:rPr>
  </w:style>
  <w:style w:type="character" w:styleId="683">
    <w:name w:val="Сильное выделение"/>
    <w:next w:val="683"/>
    <w:link w:val="655"/>
    <w:uiPriority w:val="21"/>
    <w:qFormat/>
    <w:rPr>
      <w:b/>
      <w:bCs/>
      <w:i/>
      <w:iCs/>
      <w:color w:val="4f81bd"/>
    </w:rPr>
  </w:style>
  <w:style w:type="paragraph" w:styleId="684">
    <w:name w:val="Цитата 2"/>
    <w:basedOn w:val="655"/>
    <w:next w:val="655"/>
    <w:link w:val="685"/>
    <w:uiPriority w:val="29"/>
    <w:qFormat/>
    <w:rPr>
      <w:i/>
      <w:iCs/>
      <w:color w:val="000000"/>
    </w:rPr>
  </w:style>
  <w:style w:type="character" w:styleId="685">
    <w:name w:val="Цитата 2 Знак"/>
    <w:next w:val="685"/>
    <w:link w:val="684"/>
    <w:uiPriority w:val="29"/>
    <w:rPr>
      <w:i/>
      <w:iCs/>
      <w:color w:val="000000"/>
      <w:sz w:val="24"/>
      <w:szCs w:val="24"/>
    </w:rPr>
  </w:style>
  <w:style w:type="paragraph" w:styleId="686">
    <w:name w:val="Без интервала"/>
    <w:next w:val="686"/>
    <w:link w:val="655"/>
    <w:uiPriority w:val="1"/>
    <w:qFormat/>
    <w:rPr>
      <w:sz w:val="24"/>
      <w:szCs w:val="24"/>
      <w:lang w:val="ru-RU" w:eastAsia="ru-RU" w:bidi="ar-SA"/>
    </w:rPr>
  </w:style>
  <w:style w:type="paragraph" w:styleId="687">
    <w:name w:val="ConsPlusNormal"/>
    <w:next w:val="687"/>
    <w:link w:val="688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688">
    <w:name w:val="ConsPlusNormal Знак"/>
    <w:next w:val="688"/>
    <w:link w:val="687"/>
    <w:rPr>
      <w:rFonts w:ascii="Arial" w:hAnsi="Arial" w:cs="Arial"/>
      <w:lang w:val="ru-RU" w:eastAsia="ru-RU" w:bidi="ar-SA"/>
    </w:rPr>
  </w:style>
  <w:style w:type="paragraph" w:styleId="689">
    <w:name w:val="ConsPlusCell"/>
    <w:next w:val="689"/>
    <w:link w:val="655"/>
    <w:pPr>
      <w:widowControl w:val="off"/>
    </w:pPr>
    <w:rPr>
      <w:sz w:val="24"/>
      <w:szCs w:val="24"/>
      <w:lang w:val="ru-RU" w:eastAsia="ru-RU" w:bidi="ar-SA"/>
    </w:rPr>
  </w:style>
  <w:style w:type="character" w:styleId="5410" w:default="1">
    <w:name w:val="Default Paragraph Font"/>
    <w:uiPriority w:val="1"/>
    <w:semiHidden/>
    <w:unhideWhenUsed/>
  </w:style>
  <w:style w:type="numbering" w:styleId="5411" w:default="1">
    <w:name w:val="No List"/>
    <w:uiPriority w:val="99"/>
    <w:semiHidden/>
    <w:unhideWhenUsed/>
  </w:style>
  <w:style w:type="table" w:styleId="54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Организация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limonova_iv</cp:lastModifiedBy>
  <cp:revision>4</cp:revision>
  <dcterms:created xsi:type="dcterms:W3CDTF">2026-03-09T08:11:00Z</dcterms:created>
  <dcterms:modified xsi:type="dcterms:W3CDTF">2026-03-11T08:35:01Z</dcterms:modified>
  <cp:version>1048576</cp:version>
</cp:coreProperties>
</file>