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4C" w:rsidRPr="00A6354C" w:rsidRDefault="00A6354C" w:rsidP="00A6354C">
      <w:pPr>
        <w:spacing w:before="360"/>
        <w:jc w:val="center"/>
        <w:outlineLvl w:val="1"/>
        <w:rPr>
          <w:bCs/>
          <w:iCs/>
          <w:sz w:val="28"/>
          <w:szCs w:val="28"/>
        </w:rPr>
      </w:pPr>
      <w:r w:rsidRPr="00A6354C">
        <w:rPr>
          <w:bCs/>
          <w:iCs/>
          <w:sz w:val="28"/>
          <w:szCs w:val="28"/>
        </w:rPr>
        <w:t>Важное условие пенсионного права у предпринимателей</w:t>
      </w:r>
    </w:p>
    <w:p w:rsidR="00A6354C" w:rsidRPr="00A6354C" w:rsidRDefault="00A6354C" w:rsidP="00A6354C">
      <w:pPr>
        <w:rPr>
          <w:sz w:val="28"/>
          <w:szCs w:val="28"/>
        </w:rPr>
      </w:pPr>
      <w:r w:rsidRPr="00A6354C">
        <w:rPr>
          <w:sz w:val="28"/>
          <w:szCs w:val="28"/>
        </w:rPr>
        <w:t xml:space="preserve">Управление Пенсионного фонда в </w:t>
      </w:r>
      <w:proofErr w:type="spellStart"/>
      <w:r w:rsidRPr="00A6354C">
        <w:rPr>
          <w:sz w:val="28"/>
          <w:szCs w:val="28"/>
        </w:rPr>
        <w:t>Волховском</w:t>
      </w:r>
      <w:proofErr w:type="spellEnd"/>
      <w:r w:rsidRPr="00A6354C">
        <w:rPr>
          <w:sz w:val="28"/>
          <w:szCs w:val="28"/>
        </w:rPr>
        <w:t xml:space="preserve"> районе (межрайонное)  напоминает, что пенсионные права индивидуальных предпринимателей (ИП) формируются по тем же правилам, что и у наемных работников. Разница заключается лишь в том, что пенсионные права наемных работников формируются за счет страховых взносов, уплаченных работодателем, а права ИП – за счет собственных взносов.</w:t>
      </w:r>
    </w:p>
    <w:p w:rsidR="00A6354C" w:rsidRPr="00A6354C" w:rsidRDefault="00A6354C" w:rsidP="00A6354C">
      <w:pPr>
        <w:rPr>
          <w:sz w:val="28"/>
          <w:szCs w:val="28"/>
        </w:rPr>
      </w:pPr>
      <w:r w:rsidRPr="00A6354C">
        <w:rPr>
          <w:sz w:val="28"/>
          <w:szCs w:val="28"/>
        </w:rPr>
        <w:t>Пенсионное законодательство позволяет выйти на пенсию во II полугодии 2021 г. мужчинам в возрасте 61,5 лет и женщинам 56,5 лет, родившимся соответственно в I полугодии 1960 г. и в I полугодии 1965 г., при соблюдении условий:</w:t>
      </w:r>
    </w:p>
    <w:p w:rsidR="00A6354C" w:rsidRPr="00A6354C" w:rsidRDefault="00A6354C" w:rsidP="00A6354C">
      <w:pPr>
        <w:rPr>
          <w:sz w:val="28"/>
          <w:szCs w:val="28"/>
        </w:rPr>
      </w:pPr>
      <w:r w:rsidRPr="00A6354C">
        <w:rPr>
          <w:sz w:val="28"/>
          <w:szCs w:val="28"/>
        </w:rPr>
        <w:t>- минимальный стаж не менее 12 лет (с 2024 г. – не менее 15 лет);</w:t>
      </w:r>
    </w:p>
    <w:p w:rsidR="00A6354C" w:rsidRPr="00A6354C" w:rsidRDefault="00A6354C" w:rsidP="00A6354C">
      <w:pPr>
        <w:rPr>
          <w:sz w:val="28"/>
          <w:szCs w:val="28"/>
        </w:rPr>
      </w:pPr>
      <w:r w:rsidRPr="00A6354C">
        <w:rPr>
          <w:sz w:val="28"/>
          <w:szCs w:val="28"/>
        </w:rPr>
        <w:t>- количество индивидуальных пенсионных коэффициентов (ИПК) не менее 21 (с 2025 г. – не менее 30).</w:t>
      </w:r>
    </w:p>
    <w:p w:rsidR="00A6354C" w:rsidRPr="00A6354C" w:rsidRDefault="00A6354C" w:rsidP="00A6354C">
      <w:pPr>
        <w:rPr>
          <w:sz w:val="28"/>
          <w:szCs w:val="28"/>
        </w:rPr>
      </w:pPr>
      <w:r w:rsidRPr="00A6354C">
        <w:rPr>
          <w:sz w:val="28"/>
          <w:szCs w:val="28"/>
        </w:rPr>
        <w:t>Количество ИПК рассчитывается, исходя из страховых взносов, уплаченных индивидуальным предпринимателем на обязательное пенсионное страхование.</w:t>
      </w:r>
    </w:p>
    <w:p w:rsidR="00A6354C" w:rsidRPr="00A6354C" w:rsidRDefault="00A6354C" w:rsidP="00A6354C">
      <w:pPr>
        <w:rPr>
          <w:sz w:val="28"/>
          <w:szCs w:val="28"/>
        </w:rPr>
      </w:pPr>
      <w:r w:rsidRPr="00A6354C">
        <w:rPr>
          <w:sz w:val="28"/>
          <w:szCs w:val="28"/>
        </w:rPr>
        <w:t>Сумма обязательных платежей состоит из фиксированной и переменной частей. Первая – ежегодно устанавливается Налоговым кодексом РФ и в 2021 г. равна 32 448 руб. Переменную часть уплачивают только те предприниматели, чей доход за год превысил 300 тыс. руб. – 1% от суммы превышения.</w:t>
      </w:r>
    </w:p>
    <w:p w:rsidR="00A6354C" w:rsidRPr="00A6354C" w:rsidRDefault="00A6354C" w:rsidP="00A6354C">
      <w:pPr>
        <w:rPr>
          <w:sz w:val="28"/>
          <w:szCs w:val="28"/>
        </w:rPr>
      </w:pPr>
      <w:r w:rsidRPr="00A6354C">
        <w:rPr>
          <w:sz w:val="28"/>
          <w:szCs w:val="28"/>
        </w:rPr>
        <w:t>Важно помнить, что уплата страховых взносов обязательна, даже если ИП не ведет предпринимательскую деятельность и, соответственно, не получает доходов. Эта обязанность прекращается только после снятия с регистрационного учета в налоговом органе.</w:t>
      </w:r>
    </w:p>
    <w:p w:rsidR="00A6354C" w:rsidRPr="00A6354C" w:rsidRDefault="00A6354C" w:rsidP="00A6354C">
      <w:pPr>
        <w:rPr>
          <w:sz w:val="28"/>
          <w:szCs w:val="28"/>
        </w:rPr>
      </w:pPr>
      <w:r w:rsidRPr="00A6354C">
        <w:rPr>
          <w:sz w:val="28"/>
          <w:szCs w:val="28"/>
        </w:rPr>
        <w:t>Платить страховые взносы можно двумя способами: перечислить сразу всю сумму за год или делать небольшие периодические отчисления.</w:t>
      </w:r>
    </w:p>
    <w:p w:rsidR="00A6354C" w:rsidRPr="00A6354C" w:rsidRDefault="00A6354C" w:rsidP="00A6354C">
      <w:pPr>
        <w:rPr>
          <w:color w:val="000000"/>
          <w:sz w:val="28"/>
          <w:szCs w:val="28"/>
        </w:rPr>
      </w:pPr>
      <w:r w:rsidRPr="00A6354C">
        <w:rPr>
          <w:color w:val="000000"/>
          <w:sz w:val="28"/>
          <w:szCs w:val="28"/>
        </w:rPr>
        <w:t>Справки по телефону</w:t>
      </w:r>
      <w:proofErr w:type="gramStart"/>
      <w:r w:rsidRPr="00A6354C">
        <w:rPr>
          <w:color w:val="000000"/>
          <w:sz w:val="28"/>
          <w:szCs w:val="28"/>
        </w:rPr>
        <w:t xml:space="preserve"> :</w:t>
      </w:r>
      <w:proofErr w:type="gramEnd"/>
      <w:r w:rsidRPr="00A6354C">
        <w:rPr>
          <w:color w:val="000000"/>
          <w:sz w:val="28"/>
          <w:szCs w:val="28"/>
        </w:rPr>
        <w:t>(81363)28725,284724,28723</w:t>
      </w:r>
    </w:p>
    <w:p w:rsidR="00A6354C" w:rsidRPr="00A6354C" w:rsidRDefault="00A6354C" w:rsidP="00A6354C">
      <w:pPr>
        <w:rPr>
          <w:sz w:val="28"/>
          <w:szCs w:val="28"/>
        </w:rPr>
      </w:pPr>
      <w:r w:rsidRPr="00A6354C">
        <w:rPr>
          <w:sz w:val="28"/>
          <w:szCs w:val="28"/>
        </w:rPr>
        <w:t>Заместитель начальника Управления Ю.Ю.Дегтярева</w:t>
      </w:r>
    </w:p>
    <w:p w:rsidR="00A6354C" w:rsidRPr="00A6354C" w:rsidRDefault="00A6354C" w:rsidP="00A6354C">
      <w:pPr>
        <w:rPr>
          <w:sz w:val="28"/>
          <w:szCs w:val="28"/>
        </w:rPr>
      </w:pPr>
    </w:p>
    <w:sectPr w:rsidR="00A6354C" w:rsidRPr="00A6354C" w:rsidSect="00A21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6354C"/>
    <w:rsid w:val="00A213C1"/>
    <w:rsid w:val="00A63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4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Дегтярева Юлиана Юрьевна</cp:lastModifiedBy>
  <cp:revision>1</cp:revision>
  <cp:lastPrinted>2021-03-02T10:04:00Z</cp:lastPrinted>
  <dcterms:created xsi:type="dcterms:W3CDTF">2021-03-02T10:01:00Z</dcterms:created>
  <dcterms:modified xsi:type="dcterms:W3CDTF">2021-03-02T10:04:00Z</dcterms:modified>
</cp:coreProperties>
</file>