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36" w:rsidRDefault="003B4236" w:rsidP="003B4236">
      <w:pPr>
        <w:jc w:val="center"/>
        <w:rPr>
          <w:sz w:val="32"/>
          <w:szCs w:val="32"/>
        </w:rPr>
      </w:pPr>
      <w:r>
        <w:rPr>
          <w:noProof/>
          <w:sz w:val="16"/>
          <w:szCs w:val="16"/>
        </w:rPr>
        <w:drawing>
          <wp:inline distT="0" distB="0" distL="0" distR="0">
            <wp:extent cx="466725" cy="561799"/>
            <wp:effectExtent l="19050" t="0" r="9525" b="0"/>
            <wp:docPr id="1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236" w:rsidRDefault="003B4236" w:rsidP="003B4236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муниципального образования</w:t>
      </w:r>
    </w:p>
    <w:p w:rsidR="003B4236" w:rsidRDefault="00EC70FF" w:rsidP="003B4236">
      <w:pPr>
        <w:jc w:val="center"/>
        <w:rPr>
          <w:sz w:val="36"/>
          <w:szCs w:val="36"/>
        </w:rPr>
      </w:pPr>
      <w:proofErr w:type="spellStart"/>
      <w:r>
        <w:rPr>
          <w:bCs/>
          <w:sz w:val="36"/>
          <w:szCs w:val="36"/>
        </w:rPr>
        <w:t>Суховское</w:t>
      </w:r>
      <w:proofErr w:type="spellEnd"/>
      <w:r>
        <w:rPr>
          <w:bCs/>
          <w:sz w:val="36"/>
          <w:szCs w:val="36"/>
        </w:rPr>
        <w:t xml:space="preserve"> сельское поселени</w:t>
      </w:r>
      <w:r w:rsidR="00342F45">
        <w:rPr>
          <w:bCs/>
          <w:sz w:val="36"/>
          <w:szCs w:val="36"/>
        </w:rPr>
        <w:t>е</w:t>
      </w:r>
    </w:p>
    <w:p w:rsidR="003B4236" w:rsidRDefault="003B4236" w:rsidP="003B4236">
      <w:pPr>
        <w:jc w:val="center"/>
        <w:rPr>
          <w:sz w:val="32"/>
          <w:szCs w:val="32"/>
        </w:rPr>
      </w:pPr>
      <w:r>
        <w:rPr>
          <w:sz w:val="32"/>
          <w:szCs w:val="32"/>
        </w:rPr>
        <w:t>Кировского муниципального района Ленинградской области</w:t>
      </w:r>
    </w:p>
    <w:p w:rsidR="003B4236" w:rsidRDefault="003B4236" w:rsidP="003B4236">
      <w:pPr>
        <w:pStyle w:val="af0"/>
        <w:rPr>
          <w:caps/>
          <w:sz w:val="32"/>
          <w:szCs w:val="32"/>
        </w:rPr>
      </w:pPr>
    </w:p>
    <w:p w:rsidR="003B4236" w:rsidRPr="00E260F7" w:rsidRDefault="003B4236" w:rsidP="003B4236">
      <w:pPr>
        <w:pStyle w:val="af0"/>
        <w:rPr>
          <w:b/>
          <w:caps/>
          <w:sz w:val="32"/>
          <w:szCs w:val="32"/>
        </w:rPr>
      </w:pPr>
      <w:proofErr w:type="gramStart"/>
      <w:r w:rsidRPr="00E260F7">
        <w:rPr>
          <w:b/>
          <w:caps/>
          <w:sz w:val="32"/>
          <w:szCs w:val="32"/>
        </w:rPr>
        <w:t>П</w:t>
      </w:r>
      <w:proofErr w:type="gramEnd"/>
      <w:r w:rsidRPr="00E260F7">
        <w:rPr>
          <w:b/>
          <w:caps/>
          <w:sz w:val="32"/>
          <w:szCs w:val="32"/>
        </w:rPr>
        <w:t xml:space="preserve"> О С Т А Н О В Л Е Н И Е</w:t>
      </w:r>
    </w:p>
    <w:p w:rsidR="003B4236" w:rsidRDefault="003B4236" w:rsidP="003B4236">
      <w:pPr>
        <w:jc w:val="center"/>
        <w:rPr>
          <w:b/>
          <w:sz w:val="32"/>
          <w:szCs w:val="32"/>
        </w:rPr>
      </w:pPr>
    </w:p>
    <w:p w:rsidR="003B4236" w:rsidRDefault="003B4236" w:rsidP="003B4236">
      <w:pPr>
        <w:jc w:val="center"/>
        <w:rPr>
          <w:b/>
        </w:rPr>
      </w:pPr>
      <w:r w:rsidRPr="007112B9">
        <w:rPr>
          <w:b/>
        </w:rPr>
        <w:t xml:space="preserve">от </w:t>
      </w:r>
      <w:r w:rsidR="00DA7C32">
        <w:rPr>
          <w:b/>
        </w:rPr>
        <w:t xml:space="preserve">14 декабря </w:t>
      </w:r>
      <w:r>
        <w:rPr>
          <w:b/>
        </w:rPr>
        <w:t>2021</w:t>
      </w:r>
      <w:r w:rsidRPr="007112B9">
        <w:rPr>
          <w:b/>
        </w:rPr>
        <w:t xml:space="preserve"> года</w:t>
      </w:r>
      <w:r>
        <w:rPr>
          <w:b/>
        </w:rPr>
        <w:t xml:space="preserve"> № </w:t>
      </w:r>
      <w:r w:rsidR="00DA7C32">
        <w:rPr>
          <w:b/>
        </w:rPr>
        <w:t>172</w:t>
      </w:r>
    </w:p>
    <w:p w:rsidR="003B4236" w:rsidRDefault="003B4236" w:rsidP="003B4236">
      <w:pPr>
        <w:jc w:val="center"/>
      </w:pPr>
    </w:p>
    <w:p w:rsidR="00C7614A" w:rsidRPr="00B14271" w:rsidRDefault="00C7614A" w:rsidP="00C7614A">
      <w:pPr>
        <w:tabs>
          <w:tab w:val="left" w:pos="-2340"/>
        </w:tabs>
        <w:jc w:val="center"/>
        <w:rPr>
          <w:b/>
        </w:rPr>
      </w:pPr>
      <w:bookmarkStart w:id="0" w:name="Par231"/>
      <w:bookmarkEnd w:id="0"/>
      <w:r w:rsidRPr="00B14271">
        <w:rPr>
          <w:b/>
        </w:rPr>
        <w:t xml:space="preserve">Об утверждении  </w:t>
      </w:r>
      <w:proofErr w:type="gramStart"/>
      <w:r w:rsidRPr="00B14271">
        <w:rPr>
          <w:b/>
        </w:rPr>
        <w:t>муниципальной</w:t>
      </w:r>
      <w:proofErr w:type="gramEnd"/>
      <w:r w:rsidRPr="00B14271">
        <w:rPr>
          <w:b/>
        </w:rPr>
        <w:t xml:space="preserve"> </w:t>
      </w:r>
    </w:p>
    <w:p w:rsidR="00C7614A" w:rsidRPr="00B14271" w:rsidRDefault="00C7614A" w:rsidP="00C7614A">
      <w:pPr>
        <w:tabs>
          <w:tab w:val="left" w:pos="-2340"/>
        </w:tabs>
        <w:jc w:val="center"/>
        <w:rPr>
          <w:b/>
        </w:rPr>
      </w:pPr>
      <w:r w:rsidRPr="00B14271">
        <w:rPr>
          <w:b/>
        </w:rPr>
        <w:t xml:space="preserve">программы </w:t>
      </w:r>
      <w:r>
        <w:rPr>
          <w:b/>
        </w:rPr>
        <w:t>«</w:t>
      </w:r>
      <w:r w:rsidRPr="00B14271">
        <w:rPr>
          <w:b/>
        </w:rPr>
        <w:t>Развитие муниципальной службы</w:t>
      </w:r>
    </w:p>
    <w:p w:rsidR="00C7614A" w:rsidRPr="00B14271" w:rsidRDefault="00C7614A" w:rsidP="00C7614A">
      <w:pPr>
        <w:tabs>
          <w:tab w:val="left" w:pos="-2340"/>
        </w:tabs>
        <w:jc w:val="center"/>
        <w:rPr>
          <w:b/>
        </w:rPr>
      </w:pPr>
      <w:r w:rsidRPr="00B14271">
        <w:rPr>
          <w:b/>
        </w:rPr>
        <w:t xml:space="preserve"> в администрации муниципального образования</w:t>
      </w:r>
    </w:p>
    <w:p w:rsidR="00C7614A" w:rsidRPr="00B14271" w:rsidRDefault="00C7614A" w:rsidP="00C7614A">
      <w:pPr>
        <w:tabs>
          <w:tab w:val="left" w:pos="-2340"/>
        </w:tabs>
        <w:jc w:val="center"/>
        <w:rPr>
          <w:b/>
        </w:rPr>
      </w:pPr>
      <w:r w:rsidRPr="00B14271">
        <w:rPr>
          <w:b/>
        </w:rPr>
        <w:t xml:space="preserve"> </w:t>
      </w:r>
      <w:proofErr w:type="spellStart"/>
      <w:r w:rsidRPr="00B14271">
        <w:rPr>
          <w:b/>
        </w:rPr>
        <w:t>Суховское</w:t>
      </w:r>
      <w:proofErr w:type="spellEnd"/>
      <w:r w:rsidRPr="00B14271">
        <w:rPr>
          <w:b/>
        </w:rPr>
        <w:t xml:space="preserve"> сельское поселение  </w:t>
      </w:r>
      <w:proofErr w:type="gramStart"/>
      <w:r w:rsidRPr="00B14271">
        <w:rPr>
          <w:b/>
        </w:rPr>
        <w:t>Кировского</w:t>
      </w:r>
      <w:proofErr w:type="gramEnd"/>
      <w:r w:rsidRPr="00B14271">
        <w:rPr>
          <w:b/>
        </w:rPr>
        <w:t xml:space="preserve"> </w:t>
      </w:r>
    </w:p>
    <w:p w:rsidR="00C7614A" w:rsidRDefault="00C7614A" w:rsidP="00C7614A">
      <w:pPr>
        <w:tabs>
          <w:tab w:val="left" w:pos="-2340"/>
        </w:tabs>
        <w:jc w:val="center"/>
        <w:rPr>
          <w:b/>
        </w:rPr>
      </w:pPr>
      <w:r w:rsidRPr="00B14271">
        <w:rPr>
          <w:b/>
        </w:rPr>
        <w:t>муниципального района Ленинградской области</w:t>
      </w:r>
      <w:r>
        <w:rPr>
          <w:b/>
        </w:rPr>
        <w:t xml:space="preserve"> </w:t>
      </w:r>
    </w:p>
    <w:p w:rsidR="00C7614A" w:rsidRPr="00B14271" w:rsidRDefault="00C7614A" w:rsidP="00C7614A">
      <w:pPr>
        <w:tabs>
          <w:tab w:val="left" w:pos="-2340"/>
        </w:tabs>
        <w:jc w:val="center"/>
        <w:rPr>
          <w:b/>
        </w:rPr>
      </w:pPr>
      <w:r>
        <w:rPr>
          <w:b/>
        </w:rPr>
        <w:t>на 2022-2025 годы</w:t>
      </w:r>
      <w:proofErr w:type="gramStart"/>
      <w:r>
        <w:rPr>
          <w:b/>
        </w:rPr>
        <w:t>.»</w:t>
      </w:r>
      <w:proofErr w:type="gramEnd"/>
    </w:p>
    <w:p w:rsidR="00F07A32" w:rsidRPr="003A729F" w:rsidRDefault="00F07A32" w:rsidP="008C6C2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8C6C22" w:rsidRDefault="008C6C22" w:rsidP="008C6C22">
      <w:pPr>
        <w:pStyle w:val="ConsPlusTitle"/>
        <w:widowControl/>
        <w:jc w:val="both"/>
        <w:rPr>
          <w:b w:val="0"/>
          <w:sz w:val="28"/>
          <w:szCs w:val="28"/>
        </w:rPr>
      </w:pPr>
      <w:r w:rsidRPr="005D57DA">
        <w:rPr>
          <w:b w:val="0"/>
          <w:sz w:val="28"/>
          <w:szCs w:val="28"/>
        </w:rPr>
        <w:tab/>
      </w:r>
      <w:proofErr w:type="gramStart"/>
      <w:r w:rsidRPr="002F6D38">
        <w:rPr>
          <w:b w:val="0"/>
          <w:sz w:val="28"/>
          <w:szCs w:val="28"/>
        </w:rPr>
        <w:t xml:space="preserve">В соответствии </w:t>
      </w:r>
      <w:r w:rsidRPr="008C6C22">
        <w:rPr>
          <w:b w:val="0"/>
          <w:sz w:val="28"/>
          <w:szCs w:val="28"/>
        </w:rPr>
        <w:t xml:space="preserve">с </w:t>
      </w:r>
      <w:hyperlink r:id="rId9" w:anchor="7D20K3" w:history="1">
        <w:r w:rsidRPr="008C6C22">
          <w:rPr>
            <w:rStyle w:val="af"/>
            <w:rFonts w:eastAsiaTheme="majorEastAsia"/>
            <w:b w:val="0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8C6C22">
        <w:t xml:space="preserve"> </w:t>
      </w:r>
      <w:r w:rsidRPr="008C6C22">
        <w:rPr>
          <w:b w:val="0"/>
          <w:sz w:val="28"/>
          <w:szCs w:val="28"/>
        </w:rPr>
        <w:t xml:space="preserve">от 31.07.1998 N 145-ФЗ, </w:t>
      </w:r>
      <w:hyperlink r:id="rId10" w:anchor="7D20K3" w:history="1">
        <w:r w:rsidRPr="008C6C22">
          <w:rPr>
            <w:rStyle w:val="af"/>
            <w:rFonts w:eastAsiaTheme="majorEastAsia"/>
            <w:b w:val="0"/>
            <w:color w:val="auto"/>
            <w:sz w:val="28"/>
            <w:szCs w:val="28"/>
            <w:u w:val="none"/>
          </w:rPr>
          <w:t>Федеральным законом от 06.10.2003 N 131-ФЗ «Об общих принципах организации местного самоуправления в Российской Федерации»</w:t>
        </w:r>
      </w:hyperlink>
      <w:r w:rsidRPr="008D6D10">
        <w:rPr>
          <w:b w:val="0"/>
          <w:sz w:val="28"/>
          <w:szCs w:val="28"/>
        </w:rPr>
        <w:t xml:space="preserve">, Порядком </w:t>
      </w:r>
      <w:r w:rsidRPr="002F6D38">
        <w:rPr>
          <w:b w:val="0"/>
          <w:sz w:val="28"/>
          <w:szCs w:val="28"/>
        </w:rPr>
        <w:t>разработки, реализации и оценки эффективности муниципальных программ</w:t>
      </w:r>
      <w:r w:rsidRPr="008C6C2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b w:val="0"/>
          <w:sz w:val="28"/>
          <w:szCs w:val="28"/>
        </w:rPr>
        <w:t>Суховское</w:t>
      </w:r>
      <w:proofErr w:type="spellEnd"/>
      <w:r>
        <w:rPr>
          <w:b w:val="0"/>
          <w:sz w:val="28"/>
          <w:szCs w:val="28"/>
        </w:rPr>
        <w:t xml:space="preserve"> сельское поселение</w:t>
      </w:r>
      <w:r w:rsidRPr="002F6D38">
        <w:rPr>
          <w:b w:val="0"/>
          <w:sz w:val="28"/>
          <w:szCs w:val="28"/>
        </w:rPr>
        <w:t xml:space="preserve"> Кировского муниципального района Ленинградской области, утвержденн</w:t>
      </w:r>
      <w:r>
        <w:rPr>
          <w:b w:val="0"/>
          <w:sz w:val="28"/>
          <w:szCs w:val="28"/>
        </w:rPr>
        <w:t>ым</w:t>
      </w:r>
      <w:r w:rsidRPr="002F6D38">
        <w:rPr>
          <w:b w:val="0"/>
          <w:sz w:val="28"/>
          <w:szCs w:val="28"/>
        </w:rPr>
        <w:t xml:space="preserve"> постановлением администрации</w:t>
      </w:r>
      <w:r>
        <w:rPr>
          <w:b w:val="0"/>
          <w:sz w:val="28"/>
          <w:szCs w:val="28"/>
        </w:rPr>
        <w:t xml:space="preserve"> муниципального образование </w:t>
      </w:r>
      <w:proofErr w:type="spellStart"/>
      <w:r>
        <w:rPr>
          <w:b w:val="0"/>
          <w:sz w:val="28"/>
          <w:szCs w:val="28"/>
        </w:rPr>
        <w:t>Суховское</w:t>
      </w:r>
      <w:proofErr w:type="spellEnd"/>
      <w:r>
        <w:rPr>
          <w:b w:val="0"/>
          <w:sz w:val="28"/>
          <w:szCs w:val="28"/>
        </w:rPr>
        <w:t xml:space="preserve"> сельское поселение</w:t>
      </w:r>
      <w:r w:rsidRPr="002F6D38">
        <w:rPr>
          <w:b w:val="0"/>
          <w:sz w:val="28"/>
          <w:szCs w:val="28"/>
        </w:rPr>
        <w:t xml:space="preserve"> Кировского муниципального района Ленинградской области </w:t>
      </w:r>
      <w:r w:rsidRPr="00495B4E">
        <w:rPr>
          <w:b w:val="0"/>
          <w:sz w:val="28"/>
          <w:szCs w:val="28"/>
        </w:rPr>
        <w:t xml:space="preserve">от </w:t>
      </w:r>
      <w:r w:rsidR="007E3D07">
        <w:rPr>
          <w:b w:val="0"/>
          <w:sz w:val="28"/>
          <w:szCs w:val="28"/>
        </w:rPr>
        <w:t>30.11.</w:t>
      </w:r>
      <w:r w:rsidRPr="00495B4E">
        <w:rPr>
          <w:b w:val="0"/>
          <w:sz w:val="28"/>
          <w:szCs w:val="28"/>
        </w:rPr>
        <w:t>2021</w:t>
      </w:r>
      <w:proofErr w:type="gramEnd"/>
      <w:r w:rsidR="00622513">
        <w:rPr>
          <w:b w:val="0"/>
          <w:sz w:val="28"/>
          <w:szCs w:val="28"/>
        </w:rPr>
        <w:t xml:space="preserve"> г.</w:t>
      </w:r>
      <w:r w:rsidRPr="00495B4E">
        <w:rPr>
          <w:b w:val="0"/>
          <w:sz w:val="28"/>
          <w:szCs w:val="28"/>
        </w:rPr>
        <w:t xml:space="preserve"> №</w:t>
      </w:r>
      <w:r w:rsidR="007E3D07">
        <w:rPr>
          <w:b w:val="0"/>
          <w:sz w:val="28"/>
          <w:szCs w:val="28"/>
        </w:rPr>
        <w:t xml:space="preserve"> 156</w:t>
      </w:r>
      <w:r w:rsidRPr="00495B4E">
        <w:rPr>
          <w:b w:val="0"/>
          <w:sz w:val="28"/>
          <w:szCs w:val="28"/>
        </w:rPr>
        <w:t xml:space="preserve"> «Об утверждении Порядка разработки, реализации и оценки эффектив</w:t>
      </w:r>
      <w:r w:rsidRPr="002F6D38">
        <w:rPr>
          <w:b w:val="0"/>
          <w:sz w:val="28"/>
          <w:szCs w:val="28"/>
        </w:rPr>
        <w:t>ности муниципальных программ Кировского муниципального района Ленинградской области»:</w:t>
      </w:r>
    </w:p>
    <w:p w:rsidR="008C6C22" w:rsidRDefault="00C7614A" w:rsidP="00C7614A">
      <w:pPr>
        <w:tabs>
          <w:tab w:val="left" w:pos="-234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C6C22" w:rsidRPr="00FA0DE9">
        <w:rPr>
          <w:sz w:val="28"/>
          <w:szCs w:val="28"/>
        </w:rPr>
        <w:t>1.</w:t>
      </w:r>
      <w:r w:rsidRPr="00C7614A">
        <w:rPr>
          <w:sz w:val="28"/>
          <w:szCs w:val="28"/>
        </w:rPr>
        <w:t xml:space="preserve"> </w:t>
      </w:r>
      <w:r w:rsidRPr="00B14271">
        <w:rPr>
          <w:sz w:val="28"/>
          <w:szCs w:val="28"/>
        </w:rPr>
        <w:t>Утвердить муниципальную программу «Развитие муниципальной службы</w:t>
      </w:r>
      <w:r>
        <w:rPr>
          <w:sz w:val="28"/>
          <w:szCs w:val="28"/>
        </w:rPr>
        <w:t xml:space="preserve"> </w:t>
      </w:r>
      <w:r w:rsidRPr="00B14271">
        <w:rPr>
          <w:sz w:val="28"/>
          <w:szCs w:val="28"/>
        </w:rPr>
        <w:t xml:space="preserve"> </w:t>
      </w:r>
      <w:r w:rsidRPr="00C7614A">
        <w:rPr>
          <w:sz w:val="28"/>
          <w:szCs w:val="28"/>
        </w:rPr>
        <w:t xml:space="preserve">в администрации муниципального образования  </w:t>
      </w:r>
      <w:proofErr w:type="spellStart"/>
      <w:r w:rsidRPr="00C7614A">
        <w:rPr>
          <w:sz w:val="28"/>
          <w:szCs w:val="28"/>
        </w:rPr>
        <w:t>Суховское</w:t>
      </w:r>
      <w:proofErr w:type="spellEnd"/>
      <w:r w:rsidRPr="00C7614A">
        <w:rPr>
          <w:sz w:val="28"/>
          <w:szCs w:val="28"/>
        </w:rPr>
        <w:t xml:space="preserve"> сельское поселение  Кировского муниципального района Ленинградской области на 202</w:t>
      </w:r>
      <w:r>
        <w:rPr>
          <w:sz w:val="28"/>
          <w:szCs w:val="28"/>
        </w:rPr>
        <w:t>2</w:t>
      </w:r>
      <w:r w:rsidRPr="00C7614A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C7614A">
        <w:rPr>
          <w:sz w:val="28"/>
          <w:szCs w:val="28"/>
        </w:rPr>
        <w:t xml:space="preserve"> годы</w:t>
      </w:r>
      <w:r w:rsidR="008C6C22" w:rsidRPr="00FA0DE9">
        <w:rPr>
          <w:sz w:val="28"/>
          <w:szCs w:val="28"/>
        </w:rPr>
        <w:t xml:space="preserve"> (далее - Программа) согласно приложению</w:t>
      </w:r>
      <w:r w:rsidR="008C6C22">
        <w:rPr>
          <w:sz w:val="28"/>
          <w:szCs w:val="28"/>
        </w:rPr>
        <w:t xml:space="preserve"> 1</w:t>
      </w:r>
      <w:r w:rsidR="008C6C22" w:rsidRPr="00FA0DE9">
        <w:rPr>
          <w:sz w:val="28"/>
          <w:szCs w:val="28"/>
        </w:rPr>
        <w:t>.</w:t>
      </w:r>
    </w:p>
    <w:p w:rsidR="00C7614A" w:rsidRPr="00C7614A" w:rsidRDefault="00574688" w:rsidP="00C761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14A">
        <w:rPr>
          <w:sz w:val="28"/>
          <w:szCs w:val="28"/>
        </w:rPr>
        <w:t>2</w:t>
      </w:r>
      <w:r>
        <w:rPr>
          <w:sz w:val="28"/>
          <w:szCs w:val="28"/>
        </w:rPr>
        <w:t xml:space="preserve">. Постановление </w:t>
      </w:r>
      <w:r w:rsidRPr="00574688">
        <w:rPr>
          <w:sz w:val="28"/>
          <w:szCs w:val="28"/>
        </w:rPr>
        <w:t xml:space="preserve">от </w:t>
      </w:r>
      <w:r w:rsidR="00C7614A" w:rsidRPr="00C7614A">
        <w:rPr>
          <w:sz w:val="28"/>
          <w:szCs w:val="28"/>
        </w:rPr>
        <w:t xml:space="preserve"> 15 октября 2020 года № 149</w:t>
      </w:r>
      <w:r w:rsidR="00C7614A">
        <w:rPr>
          <w:sz w:val="28"/>
          <w:szCs w:val="28"/>
        </w:rPr>
        <w:t xml:space="preserve"> «</w:t>
      </w:r>
      <w:r w:rsidR="00C7614A" w:rsidRPr="00C7614A">
        <w:rPr>
          <w:sz w:val="28"/>
          <w:szCs w:val="28"/>
        </w:rPr>
        <w:t>Об утверждении  муниципальной программы «Развитие муниципальной службы</w:t>
      </w:r>
      <w:r w:rsidR="00C7614A">
        <w:rPr>
          <w:sz w:val="28"/>
          <w:szCs w:val="28"/>
        </w:rPr>
        <w:t xml:space="preserve"> </w:t>
      </w:r>
      <w:r w:rsidR="00C7614A" w:rsidRPr="00C7614A">
        <w:rPr>
          <w:sz w:val="28"/>
          <w:szCs w:val="28"/>
        </w:rPr>
        <w:t xml:space="preserve"> в </w:t>
      </w:r>
      <w:r w:rsidR="00C7614A">
        <w:rPr>
          <w:sz w:val="28"/>
          <w:szCs w:val="28"/>
        </w:rPr>
        <w:t>а</w:t>
      </w:r>
      <w:r w:rsidR="00C7614A" w:rsidRPr="00C7614A">
        <w:rPr>
          <w:sz w:val="28"/>
          <w:szCs w:val="28"/>
        </w:rPr>
        <w:t xml:space="preserve">дминистрации муниципального образования </w:t>
      </w:r>
      <w:proofErr w:type="spellStart"/>
      <w:r w:rsidR="00C7614A" w:rsidRPr="00C7614A">
        <w:rPr>
          <w:sz w:val="28"/>
          <w:szCs w:val="28"/>
        </w:rPr>
        <w:t>Суховское</w:t>
      </w:r>
      <w:proofErr w:type="spellEnd"/>
      <w:r w:rsidR="00C7614A" w:rsidRPr="00C7614A">
        <w:rPr>
          <w:sz w:val="28"/>
          <w:szCs w:val="28"/>
        </w:rPr>
        <w:t xml:space="preserve"> сельское поселение  Кировского муниципального района Ленинградской области на 2020-2025 годы»</w:t>
      </w:r>
      <w:r w:rsidR="00066F4D">
        <w:rPr>
          <w:sz w:val="28"/>
          <w:szCs w:val="28"/>
        </w:rPr>
        <w:t xml:space="preserve"> считать утратившим силу.</w:t>
      </w:r>
    </w:p>
    <w:p w:rsidR="00622513" w:rsidRDefault="00622513" w:rsidP="0062251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3.  </w:t>
      </w:r>
      <w:r w:rsidR="00F07A32" w:rsidRPr="00A96EE3">
        <w:rPr>
          <w:bCs/>
          <w:sz w:val="28"/>
          <w:szCs w:val="28"/>
        </w:rPr>
        <w:t>Постановление подлежит официальному опубликованию в средствах массовой информации и размещению в сети «Интернет» на официальном сайте</w:t>
      </w:r>
      <w:r>
        <w:rPr>
          <w:bCs/>
          <w:sz w:val="28"/>
          <w:szCs w:val="28"/>
        </w:rPr>
        <w:t>.</w:t>
      </w:r>
      <w:r w:rsidR="00F07A32" w:rsidRPr="00A96E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</w:t>
      </w:r>
    </w:p>
    <w:p w:rsidR="00F07A32" w:rsidRPr="00574688" w:rsidRDefault="00622513" w:rsidP="0062251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4. Постановление</w:t>
      </w:r>
      <w:r w:rsidR="00F07A32" w:rsidRPr="00A96EE3">
        <w:rPr>
          <w:bCs/>
          <w:sz w:val="28"/>
          <w:szCs w:val="28"/>
        </w:rPr>
        <w:t xml:space="preserve"> вступает в силу </w:t>
      </w:r>
      <w:r>
        <w:rPr>
          <w:bCs/>
          <w:sz w:val="28"/>
          <w:szCs w:val="28"/>
        </w:rPr>
        <w:t>01 января 2022 года</w:t>
      </w:r>
      <w:r w:rsidR="00574688">
        <w:rPr>
          <w:bCs/>
          <w:sz w:val="28"/>
          <w:szCs w:val="28"/>
        </w:rPr>
        <w:t xml:space="preserve"> </w:t>
      </w:r>
      <w:r w:rsidR="00574688" w:rsidRPr="00574688">
        <w:rPr>
          <w:bCs/>
          <w:szCs w:val="28"/>
        </w:rPr>
        <w:t xml:space="preserve"> </w:t>
      </w:r>
      <w:r w:rsidR="00574688" w:rsidRPr="00574688">
        <w:rPr>
          <w:bCs/>
          <w:sz w:val="28"/>
          <w:szCs w:val="28"/>
        </w:rPr>
        <w:t>после его официального опубликования (обнародования)</w:t>
      </w:r>
      <w:r w:rsidR="00574688" w:rsidRPr="00574688">
        <w:rPr>
          <w:sz w:val="28"/>
          <w:szCs w:val="28"/>
        </w:rPr>
        <w:t>.</w:t>
      </w:r>
    </w:p>
    <w:p w:rsidR="00F07A32" w:rsidRPr="00574688" w:rsidRDefault="00F07A32" w:rsidP="00F07A32">
      <w:pPr>
        <w:widowControl w:val="0"/>
        <w:jc w:val="both"/>
        <w:rPr>
          <w:sz w:val="28"/>
          <w:szCs w:val="28"/>
        </w:rPr>
      </w:pPr>
    </w:p>
    <w:p w:rsidR="0000014B" w:rsidRPr="00F07A32" w:rsidRDefault="00F07A32" w:rsidP="005746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</w:t>
      </w:r>
      <w:proofErr w:type="spellStart"/>
      <w:r>
        <w:rPr>
          <w:sz w:val="28"/>
          <w:szCs w:val="28"/>
        </w:rPr>
        <w:t>О.В.Бармина</w:t>
      </w:r>
      <w:proofErr w:type="spellEnd"/>
      <w:r>
        <w:rPr>
          <w:sz w:val="28"/>
          <w:szCs w:val="28"/>
        </w:rPr>
        <w:t xml:space="preserve"> </w:t>
      </w:r>
    </w:p>
    <w:p w:rsidR="003B4236" w:rsidRDefault="003B4236" w:rsidP="0000014B">
      <w:pPr>
        <w:widowControl w:val="0"/>
        <w:tabs>
          <w:tab w:val="left" w:pos="3420"/>
        </w:tabs>
        <w:autoSpaceDE w:val="0"/>
        <w:autoSpaceDN w:val="0"/>
        <w:adjustRightInd w:val="0"/>
        <w:jc w:val="center"/>
        <w:rPr>
          <w:sz w:val="28"/>
          <w:szCs w:val="28"/>
        </w:rPr>
        <w:sectPr w:rsidR="003B4236" w:rsidSect="003B4236">
          <w:headerReference w:type="default" r:id="rId11"/>
          <w:footerReference w:type="even" r:id="rId12"/>
          <w:footerReference w:type="default" r:id="rId13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B4236" w:rsidRDefault="003B4236" w:rsidP="003B4236">
      <w:pPr>
        <w:tabs>
          <w:tab w:val="left" w:pos="14570"/>
        </w:tabs>
        <w:autoSpaceDE w:val="0"/>
        <w:autoSpaceDN w:val="0"/>
        <w:adjustRightInd w:val="0"/>
        <w:ind w:left="10490" w:right="395"/>
        <w:jc w:val="center"/>
      </w:pPr>
    </w:p>
    <w:p w:rsidR="003B4236" w:rsidRDefault="003B4236" w:rsidP="003B4236">
      <w:pPr>
        <w:tabs>
          <w:tab w:val="left" w:pos="14570"/>
        </w:tabs>
        <w:autoSpaceDE w:val="0"/>
        <w:autoSpaceDN w:val="0"/>
        <w:adjustRightInd w:val="0"/>
        <w:ind w:left="10490" w:right="395"/>
        <w:jc w:val="center"/>
      </w:pPr>
    </w:p>
    <w:p w:rsidR="008C6C22" w:rsidRPr="00F07A32" w:rsidRDefault="003B4236" w:rsidP="003B4236">
      <w:pPr>
        <w:tabs>
          <w:tab w:val="left" w:pos="14570"/>
        </w:tabs>
        <w:autoSpaceDE w:val="0"/>
        <w:autoSpaceDN w:val="0"/>
        <w:adjustRightInd w:val="0"/>
        <w:ind w:left="10490" w:right="395"/>
        <w:jc w:val="center"/>
        <w:rPr>
          <w:sz w:val="28"/>
          <w:szCs w:val="28"/>
        </w:rPr>
      </w:pPr>
      <w:r>
        <w:t xml:space="preserve"> </w:t>
      </w:r>
    </w:p>
    <w:p w:rsidR="003B4236" w:rsidRDefault="003B4236" w:rsidP="003B4236">
      <w:pPr>
        <w:autoSpaceDE w:val="0"/>
        <w:autoSpaceDN w:val="0"/>
        <w:adjustRightInd w:val="0"/>
        <w:ind w:left="10490"/>
        <w:jc w:val="center"/>
      </w:pPr>
      <w:r w:rsidRPr="00E17C57">
        <w:t xml:space="preserve">Приложение </w:t>
      </w:r>
      <w:r>
        <w:t>1</w:t>
      </w:r>
    </w:p>
    <w:p w:rsidR="003B4236" w:rsidRDefault="003B4236" w:rsidP="003B4236">
      <w:pPr>
        <w:tabs>
          <w:tab w:val="left" w:pos="14570"/>
        </w:tabs>
        <w:autoSpaceDE w:val="0"/>
        <w:autoSpaceDN w:val="0"/>
        <w:adjustRightInd w:val="0"/>
        <w:ind w:left="10490" w:right="395"/>
        <w:jc w:val="center"/>
      </w:pPr>
      <w:r>
        <w:t>к постановлению администрации</w:t>
      </w:r>
    </w:p>
    <w:p w:rsidR="003B4236" w:rsidRDefault="003B4236" w:rsidP="003B4236">
      <w:pPr>
        <w:tabs>
          <w:tab w:val="left" w:pos="14570"/>
        </w:tabs>
        <w:autoSpaceDE w:val="0"/>
        <w:autoSpaceDN w:val="0"/>
        <w:adjustRightInd w:val="0"/>
        <w:ind w:left="10490" w:right="395"/>
        <w:jc w:val="center"/>
      </w:pPr>
      <w:r>
        <w:t xml:space="preserve">МО </w:t>
      </w:r>
      <w:proofErr w:type="spellStart"/>
      <w:r>
        <w:t>Суховское</w:t>
      </w:r>
      <w:proofErr w:type="spellEnd"/>
      <w:r>
        <w:t xml:space="preserve"> сельское поселение</w:t>
      </w:r>
    </w:p>
    <w:p w:rsidR="003B4236" w:rsidRDefault="003B4236" w:rsidP="003B4236">
      <w:pPr>
        <w:tabs>
          <w:tab w:val="left" w:pos="14570"/>
        </w:tabs>
        <w:autoSpaceDE w:val="0"/>
        <w:autoSpaceDN w:val="0"/>
        <w:adjustRightInd w:val="0"/>
        <w:ind w:left="10490" w:right="395"/>
        <w:jc w:val="center"/>
      </w:pPr>
      <w:r>
        <w:t>Кировского муниципального района</w:t>
      </w:r>
    </w:p>
    <w:p w:rsidR="003B4236" w:rsidRDefault="003B4236" w:rsidP="003B4236">
      <w:pPr>
        <w:tabs>
          <w:tab w:val="left" w:pos="14570"/>
        </w:tabs>
        <w:autoSpaceDE w:val="0"/>
        <w:autoSpaceDN w:val="0"/>
        <w:adjustRightInd w:val="0"/>
        <w:ind w:left="10490" w:right="395"/>
        <w:jc w:val="center"/>
      </w:pPr>
      <w:r>
        <w:t>Ленинградской области</w:t>
      </w:r>
    </w:p>
    <w:p w:rsidR="003B4236" w:rsidRDefault="003B4236" w:rsidP="003B4236">
      <w:pPr>
        <w:tabs>
          <w:tab w:val="left" w:pos="14570"/>
        </w:tabs>
        <w:autoSpaceDE w:val="0"/>
        <w:autoSpaceDN w:val="0"/>
        <w:adjustRightInd w:val="0"/>
        <w:ind w:left="10490" w:right="395"/>
        <w:jc w:val="center"/>
      </w:pPr>
      <w:r>
        <w:t>от «</w:t>
      </w:r>
      <w:r w:rsidR="00DA7C32">
        <w:t xml:space="preserve"> 14 </w:t>
      </w:r>
      <w:r>
        <w:t>»</w:t>
      </w:r>
      <w:r w:rsidR="00DA7C32">
        <w:t xml:space="preserve"> декабря </w:t>
      </w:r>
      <w:r>
        <w:t xml:space="preserve"> 2021 г. № </w:t>
      </w:r>
      <w:r w:rsidR="00DA7C32">
        <w:t>172</w:t>
      </w:r>
    </w:p>
    <w:p w:rsidR="003B4236" w:rsidRDefault="003B4236" w:rsidP="003B4236">
      <w:pPr>
        <w:widowControl w:val="0"/>
        <w:autoSpaceDE w:val="0"/>
        <w:autoSpaceDN w:val="0"/>
        <w:adjustRightInd w:val="0"/>
        <w:ind w:left="10490"/>
        <w:jc w:val="center"/>
      </w:pPr>
    </w:p>
    <w:p w:rsidR="003B4236" w:rsidRDefault="00773A38" w:rsidP="003A16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3B4236" w:rsidRPr="003B4236">
        <w:rPr>
          <w:b/>
          <w:sz w:val="28"/>
          <w:szCs w:val="28"/>
        </w:rPr>
        <w:t>Муниципальная программа</w:t>
      </w:r>
    </w:p>
    <w:p w:rsidR="00C7614A" w:rsidRPr="00C7614A" w:rsidRDefault="003B4236" w:rsidP="00C761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14A">
        <w:rPr>
          <w:b/>
          <w:sz w:val="28"/>
          <w:szCs w:val="28"/>
        </w:rPr>
        <w:t>«</w:t>
      </w:r>
      <w:r w:rsidR="00C7614A" w:rsidRPr="00C7614A">
        <w:rPr>
          <w:b/>
          <w:sz w:val="28"/>
          <w:szCs w:val="28"/>
        </w:rPr>
        <w:t xml:space="preserve">Развитие муниципальной службы в администрации муниципального образования  </w:t>
      </w:r>
      <w:proofErr w:type="spellStart"/>
      <w:r w:rsidR="00C7614A" w:rsidRPr="00C7614A">
        <w:rPr>
          <w:b/>
          <w:sz w:val="28"/>
          <w:szCs w:val="28"/>
        </w:rPr>
        <w:t>Суховское</w:t>
      </w:r>
      <w:proofErr w:type="spellEnd"/>
      <w:r w:rsidR="00C7614A" w:rsidRPr="00C7614A">
        <w:rPr>
          <w:b/>
          <w:sz w:val="28"/>
          <w:szCs w:val="28"/>
        </w:rPr>
        <w:t xml:space="preserve"> сельское поселение  Кировского муниципального района Ленинградской области на 202</w:t>
      </w:r>
      <w:r w:rsidR="00C7614A">
        <w:rPr>
          <w:b/>
          <w:sz w:val="28"/>
          <w:szCs w:val="28"/>
        </w:rPr>
        <w:t>2</w:t>
      </w:r>
      <w:r w:rsidR="00C7614A" w:rsidRPr="00C7614A">
        <w:rPr>
          <w:b/>
          <w:sz w:val="28"/>
          <w:szCs w:val="28"/>
        </w:rPr>
        <w:t>-2025 годы»</w:t>
      </w:r>
    </w:p>
    <w:p w:rsidR="003B4236" w:rsidRPr="00C7614A" w:rsidRDefault="003B4236" w:rsidP="003A16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4236" w:rsidRDefault="003B4236" w:rsidP="003A16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014B" w:rsidRPr="007D6BE9" w:rsidRDefault="003B4236" w:rsidP="003A16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6BE9">
        <w:rPr>
          <w:b/>
          <w:sz w:val="28"/>
          <w:szCs w:val="28"/>
        </w:rPr>
        <w:t>1.</w:t>
      </w:r>
      <w:r w:rsidR="00A944E7" w:rsidRPr="007D6BE9">
        <w:rPr>
          <w:b/>
          <w:sz w:val="28"/>
          <w:szCs w:val="28"/>
        </w:rPr>
        <w:t>П</w:t>
      </w:r>
      <w:r w:rsidR="0000014B" w:rsidRPr="007D6BE9">
        <w:rPr>
          <w:b/>
          <w:sz w:val="28"/>
          <w:szCs w:val="28"/>
        </w:rPr>
        <w:t xml:space="preserve">аспорт муниципальной программы  </w:t>
      </w:r>
    </w:p>
    <w:p w:rsidR="0000014B" w:rsidRDefault="00EB4093" w:rsidP="00EB4093">
      <w:pPr>
        <w:widowControl w:val="0"/>
        <w:tabs>
          <w:tab w:val="left" w:pos="86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76"/>
        <w:gridCol w:w="1403"/>
        <w:gridCol w:w="1843"/>
        <w:gridCol w:w="1417"/>
        <w:gridCol w:w="1701"/>
        <w:gridCol w:w="1418"/>
        <w:gridCol w:w="1559"/>
      </w:tblGrid>
      <w:tr w:rsidR="00987AB1" w:rsidRPr="00554243" w:rsidTr="00352E8E">
        <w:trPr>
          <w:trHeight w:val="327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Default="00C7614A" w:rsidP="00C761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32B1">
              <w:t xml:space="preserve">Развитие муниципальной службы в администрации муниципального образования  </w:t>
            </w:r>
            <w:proofErr w:type="spellStart"/>
            <w:r w:rsidRPr="008532B1">
              <w:t>Суховское</w:t>
            </w:r>
            <w:proofErr w:type="spellEnd"/>
            <w:r w:rsidRPr="008532B1">
              <w:t xml:space="preserve"> сельское поселение  Кировского муниципального района Ленинградской области на 202</w:t>
            </w:r>
            <w:r>
              <w:t>2</w:t>
            </w:r>
            <w:r w:rsidRPr="008532B1">
              <w:t>-202</w:t>
            </w:r>
            <w:r>
              <w:t>5</w:t>
            </w:r>
            <w:r w:rsidRPr="008532B1">
              <w:t xml:space="preserve"> годы</w:t>
            </w:r>
            <w:r>
              <w:t>»</w:t>
            </w:r>
          </w:p>
        </w:tc>
      </w:tr>
      <w:tr w:rsidR="00987AB1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55424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A944E7" w:rsidP="00C761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2022-202</w:t>
            </w:r>
            <w:r w:rsidR="00C7614A">
              <w:t>5</w:t>
            </w:r>
            <w:r>
              <w:t xml:space="preserve"> годы</w:t>
            </w:r>
          </w:p>
        </w:tc>
      </w:tr>
      <w:tr w:rsidR="00987AB1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муниципальной</w:t>
            </w:r>
            <w:r w:rsidRPr="0055424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A944E7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 xml:space="preserve">Администрация МО </w:t>
            </w:r>
            <w:proofErr w:type="spellStart"/>
            <w:r>
              <w:t>Суховское</w:t>
            </w:r>
            <w:proofErr w:type="spellEnd"/>
            <w:r>
              <w:t xml:space="preserve"> сельское поселение</w:t>
            </w:r>
          </w:p>
        </w:tc>
      </w:tr>
      <w:tr w:rsidR="00987AB1" w:rsidRPr="00554243" w:rsidTr="00352E8E">
        <w:trPr>
          <w:trHeight w:val="591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554243">
              <w:rPr>
                <w:sz w:val="28"/>
                <w:szCs w:val="28"/>
              </w:rPr>
              <w:t>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987AB1" w:rsidRDefault="003B4236" w:rsidP="00843464">
            <w:pPr>
              <w:tabs>
                <w:tab w:val="left" w:pos="1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7AB1" w:rsidRPr="00554243" w:rsidTr="00352E8E">
        <w:trPr>
          <w:trHeight w:val="433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554243">
              <w:rPr>
                <w:sz w:val="28"/>
                <w:szCs w:val="28"/>
              </w:rPr>
              <w:t>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A944E7" w:rsidP="00C761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Ведущий специалист</w:t>
            </w:r>
            <w:r w:rsidR="00C7614A">
              <w:t xml:space="preserve"> администрации, ответственный за кадры.</w:t>
            </w:r>
          </w:p>
        </w:tc>
      </w:tr>
      <w:tr w:rsidR="00987AB1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муниципальной</w:t>
            </w:r>
            <w:r w:rsidRPr="0055424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4A" w:rsidRPr="00E04160" w:rsidRDefault="00C7614A" w:rsidP="00C7614A">
            <w:pPr>
              <w:pStyle w:val="ad"/>
            </w:pPr>
            <w:r w:rsidRPr="00E04160">
              <w:t xml:space="preserve">развитие и совершенствование муниципальной службы в Администрации </w:t>
            </w:r>
            <w:proofErr w:type="spellStart"/>
            <w:r>
              <w:t>Суховского</w:t>
            </w:r>
            <w:proofErr w:type="spellEnd"/>
            <w:r w:rsidRPr="00E04160">
              <w:t xml:space="preserve"> сельского поселения, повышение эффективности деятельности муниципальных служащих Администрации </w:t>
            </w:r>
            <w:proofErr w:type="spellStart"/>
            <w:r>
              <w:t>Суховского</w:t>
            </w:r>
            <w:proofErr w:type="spellEnd"/>
            <w:r w:rsidRPr="00E04160">
              <w:t xml:space="preserve"> сельского поселения.</w:t>
            </w:r>
          </w:p>
          <w:p w:rsidR="00987AB1" w:rsidRPr="00554243" w:rsidRDefault="00987AB1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7614A" w:rsidRPr="00C36D3C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4A" w:rsidRPr="00554243" w:rsidRDefault="00C7614A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lastRenderedPageBreak/>
              <w:t xml:space="preserve">Задачи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554243">
              <w:rPr>
                <w:sz w:val="28"/>
                <w:szCs w:val="28"/>
              </w:rPr>
              <w:t>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4A" w:rsidRPr="00E04160" w:rsidRDefault="00C7614A" w:rsidP="00C7614A">
            <w:pPr>
              <w:pStyle w:val="ad"/>
            </w:pPr>
            <w:r w:rsidRPr="00E04160">
              <w:t xml:space="preserve"> Совершенствование нормативной правовой базы по вопросам развития муниципальной службы.</w:t>
            </w:r>
          </w:p>
          <w:p w:rsidR="00C7614A" w:rsidRPr="00E04160" w:rsidRDefault="00C7614A" w:rsidP="00C7614A">
            <w:pPr>
              <w:pStyle w:val="ad"/>
            </w:pPr>
            <w:r w:rsidRPr="00E04160">
              <w:t xml:space="preserve"> Формирование организационно - методического сопровождения системы муниципальной службы. </w:t>
            </w:r>
          </w:p>
          <w:p w:rsidR="00C7614A" w:rsidRPr="00E04160" w:rsidRDefault="00C7614A" w:rsidP="00C7614A">
            <w:pPr>
              <w:pStyle w:val="ad"/>
            </w:pPr>
            <w:r w:rsidRPr="00E04160">
              <w:t xml:space="preserve"> Реализация механизмов предупреждения коррупции, выявления и разрешения конфликта интересов на муниципальной службе. </w:t>
            </w:r>
          </w:p>
          <w:p w:rsidR="00C7614A" w:rsidRPr="00E04160" w:rsidRDefault="00C7614A" w:rsidP="00C7614A">
            <w:pPr>
              <w:pStyle w:val="ad"/>
            </w:pPr>
            <w:r w:rsidRPr="00E04160">
              <w:t xml:space="preserve"> Создание условий для профессионального развития и подготовки кадров муниципальной службы в Администрации </w:t>
            </w:r>
            <w:proofErr w:type="spellStart"/>
            <w:r>
              <w:t>Суховского</w:t>
            </w:r>
            <w:proofErr w:type="spellEnd"/>
            <w:r w:rsidRPr="00E04160">
              <w:t xml:space="preserve"> сельского поселения, стимулирование муниципальных служащих к обучению, повышению квалификации.</w:t>
            </w:r>
          </w:p>
          <w:p w:rsidR="00C7614A" w:rsidRPr="00E04160" w:rsidRDefault="00C7614A" w:rsidP="00C7614A">
            <w:pPr>
              <w:pStyle w:val="ad"/>
            </w:pPr>
            <w:r w:rsidRPr="00E04160">
              <w:t xml:space="preserve"> Обеспечение устойчивого развития кадрового потенциала и повышения эффективности муниципальной службы, внедрение новых методов планирования, стимулирования и оценки деятельности муниципальных служащих.</w:t>
            </w:r>
          </w:p>
          <w:p w:rsidR="00C7614A" w:rsidRPr="00E04160" w:rsidRDefault="00C7614A" w:rsidP="00C7614A">
            <w:pPr>
              <w:pStyle w:val="ad"/>
            </w:pPr>
            <w:r w:rsidRPr="00E04160">
              <w:t xml:space="preserve"> Разработка системы мер, направленных на стимулирование добросовестного исполнения обязанностей муниципальной службы на высоком профессиональном уровне.</w:t>
            </w:r>
          </w:p>
          <w:p w:rsidR="00C7614A" w:rsidRPr="00E04160" w:rsidRDefault="00C7614A" w:rsidP="00C7614A">
            <w:pPr>
              <w:pStyle w:val="ad"/>
            </w:pPr>
            <w:r w:rsidRPr="00E04160">
              <w:t xml:space="preserve"> Повышение доверия граждан к муниципальным служащим, обеспечение открытости и прозрачности муниципальной службы. </w:t>
            </w:r>
          </w:p>
          <w:p w:rsidR="00C7614A" w:rsidRPr="00E04160" w:rsidRDefault="00C7614A" w:rsidP="00C7614A">
            <w:pPr>
              <w:pStyle w:val="ad"/>
            </w:pPr>
            <w:r w:rsidRPr="00E04160">
              <w:t xml:space="preserve"> Повышение престижа муниципальной службы.</w:t>
            </w:r>
          </w:p>
          <w:p w:rsidR="00C7614A" w:rsidRPr="00E04160" w:rsidRDefault="00C7614A" w:rsidP="00A2575C">
            <w:r w:rsidRPr="00E04160">
              <w:t xml:space="preserve"> </w:t>
            </w:r>
          </w:p>
        </w:tc>
      </w:tr>
      <w:tr w:rsidR="00A2575C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5C" w:rsidRPr="00554243" w:rsidRDefault="00A2575C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Ожидаемые (конечные) результаты 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554243">
              <w:rPr>
                <w:sz w:val="28"/>
                <w:szCs w:val="28"/>
              </w:rPr>
              <w:t>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5C" w:rsidRPr="00E04160" w:rsidRDefault="00A2575C" w:rsidP="00A2575C">
            <w:pPr>
              <w:pStyle w:val="ad"/>
              <w:rPr>
                <w:color w:val="000000"/>
              </w:rPr>
            </w:pPr>
            <w:r w:rsidRPr="00E04160">
              <w:rPr>
                <w:noProof/>
                <w:color w:val="000000"/>
              </w:rPr>
              <w:t xml:space="preserve"> </w:t>
            </w:r>
            <w:r w:rsidRPr="00E04160">
              <w:rPr>
                <w:color w:val="000000"/>
              </w:rPr>
              <w:t xml:space="preserve">Принятие необходимых муниципальных правовых актов по вопросам муниципальной службы в соответствии с требованиями федерального законодательства и законодательства </w:t>
            </w:r>
            <w:r>
              <w:rPr>
                <w:color w:val="000000"/>
              </w:rPr>
              <w:t>Ленинградской</w:t>
            </w:r>
            <w:r w:rsidRPr="00E04160">
              <w:rPr>
                <w:color w:val="000000"/>
              </w:rPr>
              <w:t xml:space="preserve"> области.</w:t>
            </w:r>
          </w:p>
          <w:p w:rsidR="00A2575C" w:rsidRPr="00E04160" w:rsidRDefault="00A2575C" w:rsidP="00A2575C">
            <w:pPr>
              <w:pStyle w:val="ad"/>
              <w:rPr>
                <w:color w:val="000000"/>
              </w:rPr>
            </w:pPr>
            <w:r w:rsidRPr="00E04160">
              <w:rPr>
                <w:color w:val="000000"/>
              </w:rPr>
              <w:t>Создание необходимых условий для профессионального развития муниципальных служащих. Обучение, переподготовка, повышение квалификации 2 муниципальных служащих за счет средств бюджета сельского поселения. Оснащение 1 рабочего места программным обеспечением – электронный документооборот.</w:t>
            </w:r>
          </w:p>
          <w:p w:rsidR="00A2575C" w:rsidRPr="00E04160" w:rsidRDefault="00A2575C" w:rsidP="00A2575C">
            <w:pPr>
              <w:pStyle w:val="ad"/>
              <w:rPr>
                <w:color w:val="000000"/>
              </w:rPr>
            </w:pPr>
            <w:r w:rsidRPr="00E04160">
              <w:rPr>
                <w:color w:val="000000"/>
              </w:rPr>
              <w:t xml:space="preserve">Разработка и внедрение программного обеспечения с целью ведения </w:t>
            </w:r>
            <w:r w:rsidRPr="00E04160">
              <w:rPr>
                <w:color w:val="000000"/>
              </w:rPr>
              <w:lastRenderedPageBreak/>
              <w:t>автоматизированной информационной системы реестра муниципальных служащих, кадрового резерва и работы с обращениями граждан.</w:t>
            </w:r>
          </w:p>
          <w:p w:rsidR="00A2575C" w:rsidRPr="00E04160" w:rsidRDefault="00A2575C" w:rsidP="00A2575C">
            <w:pPr>
              <w:pStyle w:val="ad"/>
              <w:rPr>
                <w:color w:val="000000"/>
              </w:rPr>
            </w:pPr>
            <w:r w:rsidRPr="00E04160">
              <w:rPr>
                <w:color w:val="000000"/>
              </w:rPr>
              <w:t>Обеспечение открытости муниципальной службы и ее доступности общественному контролю.</w:t>
            </w:r>
          </w:p>
          <w:p w:rsidR="00A2575C" w:rsidRPr="00E04160" w:rsidRDefault="00A2575C" w:rsidP="00A2575C">
            <w:pPr>
              <w:pStyle w:val="ad"/>
              <w:rPr>
                <w:color w:val="000000"/>
              </w:rPr>
            </w:pPr>
            <w:r w:rsidRPr="00E04160">
              <w:rPr>
                <w:color w:val="000000"/>
              </w:rPr>
              <w:t xml:space="preserve">Внедрение механизмов противодействия коррупции на муниципальной службе. </w:t>
            </w:r>
          </w:p>
          <w:p w:rsidR="00A2575C" w:rsidRPr="00E04160" w:rsidRDefault="00A2575C" w:rsidP="00A2575C">
            <w:pPr>
              <w:pStyle w:val="ad"/>
              <w:rPr>
                <w:color w:val="000000"/>
              </w:rPr>
            </w:pPr>
            <w:r w:rsidRPr="00E04160">
              <w:rPr>
                <w:color w:val="000000"/>
              </w:rPr>
              <w:t>Внедрение и совершенствование механизмов формирования кадрового резерва, проведения аттестации муниципальных служащих</w:t>
            </w:r>
          </w:p>
        </w:tc>
      </w:tr>
      <w:tr w:rsidR="00A2575C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5C" w:rsidRPr="00554243" w:rsidRDefault="00A2575C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lastRenderedPageBreak/>
              <w:t xml:space="preserve">Подпрограммы </w:t>
            </w:r>
            <w:r>
              <w:rPr>
                <w:sz w:val="28"/>
                <w:szCs w:val="28"/>
              </w:rPr>
              <w:t>муниципальной</w:t>
            </w:r>
            <w:r w:rsidRPr="0055424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5C" w:rsidRDefault="00A2575C" w:rsidP="00A944E7">
            <w:pPr>
              <w:pStyle w:val="ConsPlusCell"/>
              <w:ind w:firstLine="209"/>
              <w:jc w:val="both"/>
            </w:pPr>
            <w:r>
              <w:t>нет</w:t>
            </w:r>
          </w:p>
          <w:p w:rsidR="00A2575C" w:rsidRPr="00554243" w:rsidRDefault="00A2575C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2575C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5C" w:rsidRPr="00554243" w:rsidRDefault="00A2575C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243">
              <w:rPr>
                <w:sz w:val="28"/>
                <w:szCs w:val="28"/>
              </w:rPr>
              <w:t xml:space="preserve">Проекты, реализуемые в рамках </w:t>
            </w:r>
            <w:r>
              <w:rPr>
                <w:sz w:val="28"/>
                <w:szCs w:val="28"/>
              </w:rPr>
              <w:t>муниципальной</w:t>
            </w:r>
            <w:r w:rsidRPr="0055424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5C" w:rsidRPr="00554243" w:rsidRDefault="00A2575C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575C" w:rsidRPr="00554243" w:rsidTr="003A44E5">
        <w:trPr>
          <w:trHeight w:val="1191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5C" w:rsidRPr="00A944E7" w:rsidRDefault="00A2575C" w:rsidP="00352E8E">
            <w:pPr>
              <w:pStyle w:val="ConsPlusCell"/>
              <w:rPr>
                <w:sz w:val="28"/>
                <w:szCs w:val="28"/>
              </w:rPr>
            </w:pPr>
            <w:r w:rsidRPr="00A944E7">
              <w:rPr>
                <w:sz w:val="28"/>
                <w:szCs w:val="28"/>
              </w:rPr>
              <w:t>Фина</w:t>
            </w:r>
            <w:r>
              <w:rPr>
                <w:sz w:val="28"/>
                <w:szCs w:val="28"/>
              </w:rPr>
              <w:t>н</w:t>
            </w:r>
            <w:r w:rsidRPr="00A944E7">
              <w:rPr>
                <w:sz w:val="28"/>
                <w:szCs w:val="28"/>
              </w:rPr>
              <w:t xml:space="preserve">совое обеспечение муниципальной программы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5C" w:rsidRPr="00352E8E" w:rsidRDefault="00A2575C" w:rsidP="00843464">
            <w:pPr>
              <w:autoSpaceDE w:val="0"/>
              <w:autoSpaceDN w:val="0"/>
              <w:adjustRightInd w:val="0"/>
            </w:pPr>
            <w:r w:rsidRPr="00352E8E">
              <w:t>Всего</w:t>
            </w:r>
          </w:p>
          <w:p w:rsidR="00A2575C" w:rsidRPr="00554243" w:rsidRDefault="00A2575C" w:rsidP="00352E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2E8E">
              <w:t>тыс</w:t>
            </w:r>
            <w:proofErr w:type="gramStart"/>
            <w:r w:rsidRPr="00352E8E">
              <w:t>.р</w:t>
            </w:r>
            <w:proofErr w:type="gramEnd"/>
            <w:r w:rsidRPr="00352E8E">
              <w:t>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5C" w:rsidRPr="00554243" w:rsidRDefault="00A2575C" w:rsidP="00352E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5C" w:rsidRPr="00554243" w:rsidRDefault="00A2575C" w:rsidP="00352E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5C" w:rsidRPr="00554243" w:rsidRDefault="00A2575C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5C" w:rsidRPr="00554243" w:rsidRDefault="00A2575C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5C" w:rsidRPr="00554243" w:rsidRDefault="00A2575C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2575C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5C" w:rsidRPr="00A944E7" w:rsidRDefault="00A2575C" w:rsidP="00A944E7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944E7">
              <w:rPr>
                <w:sz w:val="28"/>
                <w:szCs w:val="28"/>
              </w:rPr>
              <w:t>средства бюджета, поселения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5C" w:rsidRPr="00554243" w:rsidRDefault="003A6553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575C"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5C" w:rsidRPr="00554243" w:rsidRDefault="00A2575C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5C" w:rsidRPr="00554243" w:rsidRDefault="003A6553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5C" w:rsidRPr="00554243" w:rsidRDefault="003A6553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5C" w:rsidRPr="00554243" w:rsidRDefault="00A2575C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5C" w:rsidRPr="00554243" w:rsidRDefault="00A2575C" w:rsidP="008434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2575C" w:rsidRPr="00554243" w:rsidTr="00352E8E"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5C" w:rsidRPr="00A944E7" w:rsidRDefault="00A2575C" w:rsidP="00A944E7">
            <w:pPr>
              <w:pStyle w:val="ConsPlusCell"/>
              <w:rPr>
                <w:sz w:val="28"/>
                <w:szCs w:val="28"/>
              </w:rPr>
            </w:pPr>
            <w:r w:rsidRPr="00A944E7">
              <w:rPr>
                <w:sz w:val="28"/>
                <w:szCs w:val="28"/>
              </w:rPr>
              <w:t>- за счет средств межбюджетных трансфертов поселений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5C" w:rsidRPr="00554243" w:rsidRDefault="00A2575C" w:rsidP="005F78B2">
            <w:pPr>
              <w:autoSpaceDE w:val="0"/>
              <w:autoSpaceDN w:val="0"/>
              <w:adjustRightInd w:val="0"/>
              <w:ind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5C" w:rsidRPr="00554243" w:rsidRDefault="00A2575C" w:rsidP="00352E8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5C" w:rsidRPr="00554243" w:rsidRDefault="00A2575C" w:rsidP="00352E8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5C" w:rsidRPr="00554243" w:rsidRDefault="00A2575C" w:rsidP="00352E8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5C" w:rsidRPr="00554243" w:rsidRDefault="00A2575C" w:rsidP="00352E8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5C" w:rsidRPr="00554243" w:rsidRDefault="00A2575C" w:rsidP="00352E8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987AB1" w:rsidRDefault="00987AB1" w:rsidP="00843464"/>
    <w:p w:rsidR="00D23A87" w:rsidRDefault="00D23A87" w:rsidP="0000014B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D23A87" w:rsidRDefault="00D23A87" w:rsidP="0000014B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3B4236" w:rsidRDefault="003B4236" w:rsidP="00352E8E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773A38" w:rsidRDefault="00773A38" w:rsidP="00352E8E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773A38" w:rsidRDefault="00773A38" w:rsidP="00352E8E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773A38" w:rsidRDefault="00773A38" w:rsidP="00352E8E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3B4236" w:rsidRDefault="003B4236" w:rsidP="00352E8E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F13DAC" w:rsidRPr="000A392B" w:rsidRDefault="00773A38" w:rsidP="00F13DAC">
      <w:pPr>
        <w:widowControl w:val="0"/>
        <w:jc w:val="center"/>
        <w:rPr>
          <w:sz w:val="28"/>
          <w:szCs w:val="28"/>
        </w:rPr>
      </w:pPr>
      <w:bookmarkStart w:id="1" w:name="Par339"/>
      <w:bookmarkEnd w:id="1"/>
      <w:r>
        <w:rPr>
          <w:sz w:val="28"/>
          <w:szCs w:val="28"/>
        </w:rPr>
        <w:lastRenderedPageBreak/>
        <w:t xml:space="preserve"> 2.</w:t>
      </w:r>
      <w:r w:rsidR="00F13DAC" w:rsidRPr="000A392B">
        <w:rPr>
          <w:sz w:val="28"/>
          <w:szCs w:val="28"/>
        </w:rPr>
        <w:t>Сведения</w:t>
      </w:r>
      <w:r w:rsidR="00F93DD8">
        <w:rPr>
          <w:sz w:val="28"/>
          <w:szCs w:val="28"/>
        </w:rPr>
        <w:t xml:space="preserve"> </w:t>
      </w:r>
      <w:r w:rsidR="00F13DAC" w:rsidRPr="000A392B">
        <w:rPr>
          <w:sz w:val="28"/>
          <w:szCs w:val="28"/>
        </w:rPr>
        <w:t>о показателях и их значениях</w:t>
      </w:r>
      <w:r w:rsidR="000A402B">
        <w:rPr>
          <w:sz w:val="28"/>
          <w:szCs w:val="28"/>
        </w:rPr>
        <w:t xml:space="preserve"> </w:t>
      </w:r>
      <w:r w:rsidR="00F13DAC" w:rsidRPr="000A392B">
        <w:rPr>
          <w:sz w:val="28"/>
          <w:szCs w:val="28"/>
        </w:rPr>
        <w:t xml:space="preserve"> муниципальной программы </w:t>
      </w:r>
    </w:p>
    <w:p w:rsidR="00F93DD8" w:rsidRPr="00C7614A" w:rsidRDefault="00F93DD8" w:rsidP="00F93D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14A">
        <w:rPr>
          <w:b/>
          <w:sz w:val="28"/>
          <w:szCs w:val="28"/>
        </w:rPr>
        <w:t xml:space="preserve">«Развитие муниципальной службы в администрации муниципального образования  </w:t>
      </w:r>
      <w:proofErr w:type="spellStart"/>
      <w:r w:rsidRPr="00C7614A">
        <w:rPr>
          <w:b/>
          <w:sz w:val="28"/>
          <w:szCs w:val="28"/>
        </w:rPr>
        <w:t>Суховское</w:t>
      </w:r>
      <w:proofErr w:type="spellEnd"/>
      <w:r w:rsidRPr="00C7614A">
        <w:rPr>
          <w:b/>
          <w:sz w:val="28"/>
          <w:szCs w:val="28"/>
        </w:rPr>
        <w:t xml:space="preserve"> сельское поселение  Кировского муниципального района Ленинградской области на 202</w:t>
      </w:r>
      <w:r>
        <w:rPr>
          <w:b/>
          <w:sz w:val="28"/>
          <w:szCs w:val="28"/>
        </w:rPr>
        <w:t>2</w:t>
      </w:r>
      <w:r w:rsidRPr="00C7614A">
        <w:rPr>
          <w:b/>
          <w:sz w:val="28"/>
          <w:szCs w:val="28"/>
        </w:rPr>
        <w:t>-2025 годы»</w:t>
      </w:r>
    </w:p>
    <w:p w:rsidR="00F13DAC" w:rsidRPr="00270256" w:rsidRDefault="00F93DD8" w:rsidP="00F13DAC">
      <w:pPr>
        <w:pStyle w:val="ConsPlusNonformat"/>
        <w:jc w:val="center"/>
        <w:rPr>
          <w:rFonts w:ascii="Times New Roman" w:hAnsi="Times New Roman" w:cs="Times New Roman"/>
        </w:rPr>
      </w:pPr>
      <w:r w:rsidRPr="00270256">
        <w:rPr>
          <w:rFonts w:ascii="Times New Roman" w:hAnsi="Times New Roman" w:cs="Times New Roman"/>
        </w:rPr>
        <w:t xml:space="preserve"> </w:t>
      </w:r>
      <w:r w:rsidR="00F13DAC" w:rsidRPr="00270256">
        <w:rPr>
          <w:rFonts w:ascii="Times New Roman" w:hAnsi="Times New Roman" w:cs="Times New Roman"/>
        </w:rPr>
        <w:t>(наименование муниципальной программы</w:t>
      </w:r>
      <w:r w:rsidR="00F13DAC">
        <w:rPr>
          <w:rFonts w:ascii="Times New Roman" w:hAnsi="Times New Roman" w:cs="Times New Roman"/>
        </w:rPr>
        <w:t>)</w:t>
      </w:r>
    </w:p>
    <w:p w:rsidR="00F13DAC" w:rsidRDefault="00F13DAC" w:rsidP="00F13DAC">
      <w:pPr>
        <w:widowControl w:val="0"/>
        <w:jc w:val="center"/>
        <w:rPr>
          <w:sz w:val="26"/>
          <w:szCs w:val="26"/>
        </w:rPr>
      </w:pPr>
    </w:p>
    <w:p w:rsidR="00F13DAC" w:rsidRDefault="00F13DAC" w:rsidP="00F13DAC">
      <w:pPr>
        <w:widowControl w:val="0"/>
        <w:jc w:val="center"/>
        <w:rPr>
          <w:sz w:val="26"/>
          <w:szCs w:val="2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1560"/>
        <w:gridCol w:w="992"/>
        <w:gridCol w:w="1559"/>
        <w:gridCol w:w="139"/>
        <w:gridCol w:w="1417"/>
        <w:gridCol w:w="1276"/>
        <w:gridCol w:w="16"/>
        <w:gridCol w:w="1259"/>
        <w:gridCol w:w="16"/>
        <w:gridCol w:w="1264"/>
        <w:gridCol w:w="1417"/>
      </w:tblGrid>
      <w:tr w:rsidR="00773A38" w:rsidRPr="005D30D3" w:rsidTr="00773A38">
        <w:trPr>
          <w:trHeight w:val="767"/>
        </w:trPr>
        <w:tc>
          <w:tcPr>
            <w:tcW w:w="567" w:type="dxa"/>
            <w:vMerge w:val="restart"/>
          </w:tcPr>
          <w:p w:rsidR="00773A38" w:rsidRPr="005D30D3" w:rsidRDefault="00773A38" w:rsidP="00F13D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D30D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Pr="005D30D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46" w:type="dxa"/>
            <w:gridSpan w:val="2"/>
            <w:vMerge w:val="restart"/>
          </w:tcPr>
          <w:p w:rsidR="00773A38" w:rsidRPr="005D30D3" w:rsidRDefault="00773A38" w:rsidP="00F13DAC">
            <w:pPr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</w:tcPr>
          <w:p w:rsidR="00773A38" w:rsidRPr="005D30D3" w:rsidRDefault="00773A38" w:rsidP="00F13DAC">
            <w:pPr>
              <w:ind w:left="-108" w:right="-99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946" w:type="dxa"/>
            <w:gridSpan w:val="8"/>
          </w:tcPr>
          <w:p w:rsidR="00773A38" w:rsidRPr="005D30D3" w:rsidRDefault="00773A38" w:rsidP="00F13DAC">
            <w:pPr>
              <w:ind w:left="16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1417" w:type="dxa"/>
          </w:tcPr>
          <w:p w:rsidR="00773A38" w:rsidRPr="005D30D3" w:rsidRDefault="00773A38" w:rsidP="00F13DAC">
            <w:pPr>
              <w:ind w:left="-109" w:righ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Удельный вес подпрограммы (показателя)</w:t>
            </w:r>
          </w:p>
        </w:tc>
      </w:tr>
      <w:tr w:rsidR="00773A38" w:rsidRPr="005D30D3" w:rsidTr="00773A38">
        <w:trPr>
          <w:trHeight w:val="78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73A38" w:rsidRPr="005D30D3" w:rsidRDefault="00773A38" w:rsidP="00F13DAC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6" w:type="dxa"/>
            <w:gridSpan w:val="2"/>
            <w:vMerge/>
            <w:tcBorders>
              <w:bottom w:val="single" w:sz="4" w:space="0" w:color="auto"/>
            </w:tcBorders>
          </w:tcPr>
          <w:p w:rsidR="00773A38" w:rsidRPr="005D30D3" w:rsidRDefault="00773A38" w:rsidP="00F13DAC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73A38" w:rsidRPr="005D30D3" w:rsidRDefault="00773A38" w:rsidP="00F13DAC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:rsidR="00773A38" w:rsidRDefault="00773A38" w:rsidP="00F13DAC">
            <w:pPr>
              <w:ind w:right="-111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5D30D3">
              <w:rPr>
                <w:sz w:val="20"/>
                <w:szCs w:val="20"/>
              </w:rPr>
              <w:t xml:space="preserve"> год </w:t>
            </w:r>
          </w:p>
          <w:p w:rsidR="00773A38" w:rsidRPr="005D30D3" w:rsidRDefault="00773A38" w:rsidP="00F13DAC">
            <w:pPr>
              <w:ind w:right="-111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73A38" w:rsidRDefault="00773A38" w:rsidP="00F13DAC">
            <w:pPr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773A38" w:rsidRPr="005D30D3" w:rsidRDefault="00773A38" w:rsidP="00F13DAC">
            <w:pPr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 xml:space="preserve"> (прогноз) 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</w:tcPr>
          <w:p w:rsidR="00773A38" w:rsidRPr="005D30D3" w:rsidRDefault="00773A38" w:rsidP="00F13DAC">
            <w:pPr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5D30D3">
              <w:rPr>
                <w:sz w:val="20"/>
                <w:szCs w:val="20"/>
              </w:rPr>
              <w:t xml:space="preserve">  год</w:t>
            </w:r>
          </w:p>
          <w:p w:rsidR="00773A38" w:rsidRPr="005D30D3" w:rsidRDefault="00773A38" w:rsidP="00F13DAC">
            <w:pPr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73A38" w:rsidRPr="005D30D3" w:rsidRDefault="00773A38" w:rsidP="00F13DAC">
            <w:pPr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773A38" w:rsidRPr="005D30D3" w:rsidRDefault="00773A38" w:rsidP="00F13DAC">
            <w:pPr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773A38" w:rsidRPr="005D30D3" w:rsidRDefault="00773A38" w:rsidP="00F13DA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73A38" w:rsidRPr="005D30D3" w:rsidRDefault="00773A38" w:rsidP="00F13DAC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73A38" w:rsidRPr="005D30D3" w:rsidTr="00773A38">
        <w:trPr>
          <w:trHeight w:val="297"/>
        </w:trPr>
        <w:tc>
          <w:tcPr>
            <w:tcW w:w="15168" w:type="dxa"/>
            <w:gridSpan w:val="13"/>
            <w:vAlign w:val="center"/>
          </w:tcPr>
          <w:p w:rsidR="00773A38" w:rsidRPr="005D30D3" w:rsidRDefault="00773A38" w:rsidP="00F13DAC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73A38" w:rsidRPr="005D30D3" w:rsidTr="00773A38">
        <w:trPr>
          <w:trHeight w:val="497"/>
        </w:trPr>
        <w:tc>
          <w:tcPr>
            <w:tcW w:w="567" w:type="dxa"/>
            <w:vMerge w:val="restart"/>
          </w:tcPr>
          <w:p w:rsidR="00773A38" w:rsidRPr="005D30D3" w:rsidRDefault="00773A38" w:rsidP="00F13D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vMerge w:val="restart"/>
          </w:tcPr>
          <w:p w:rsidR="00773A38" w:rsidRPr="00F13DAC" w:rsidRDefault="00773A38" w:rsidP="00F13DAC">
            <w:pPr>
              <w:widowControl w:val="0"/>
            </w:pPr>
            <w:r>
              <w:t>Совершенствование нормативной правовой базы по вопросам развития муниципальной службы</w:t>
            </w:r>
          </w:p>
        </w:tc>
        <w:tc>
          <w:tcPr>
            <w:tcW w:w="1560" w:type="dxa"/>
            <w:vAlign w:val="center"/>
          </w:tcPr>
          <w:p w:rsidR="00773A38" w:rsidRPr="005D30D3" w:rsidRDefault="00773A38" w:rsidP="00F13DAC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773A38" w:rsidRPr="005D30D3" w:rsidRDefault="00773A38" w:rsidP="00F13DAC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773A38" w:rsidRPr="005D30D3" w:rsidRDefault="00773A38" w:rsidP="00F13DAC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59" w:type="dxa"/>
          </w:tcPr>
          <w:p w:rsidR="00773A38" w:rsidRPr="005D30D3" w:rsidRDefault="00773A38" w:rsidP="00F13DAC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1556" w:type="dxa"/>
            <w:gridSpan w:val="2"/>
          </w:tcPr>
          <w:p w:rsidR="00773A38" w:rsidRPr="005D30D3" w:rsidRDefault="00773A38" w:rsidP="001854C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1276" w:type="dxa"/>
          </w:tcPr>
          <w:p w:rsidR="00773A38" w:rsidRPr="005D30D3" w:rsidRDefault="00773A38" w:rsidP="001854C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1275" w:type="dxa"/>
            <w:gridSpan w:val="2"/>
          </w:tcPr>
          <w:p w:rsidR="00773A38" w:rsidRPr="00D333CB" w:rsidRDefault="00773A38" w:rsidP="00B12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0" w:type="dxa"/>
            <w:gridSpan w:val="2"/>
          </w:tcPr>
          <w:p w:rsidR="00773A38" w:rsidRPr="00D333CB" w:rsidRDefault="00773A38" w:rsidP="00330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773A38" w:rsidRPr="005D30D3" w:rsidRDefault="00773A38" w:rsidP="0031018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3A38" w:rsidRPr="005D30D3" w:rsidTr="00773A38">
        <w:trPr>
          <w:trHeight w:val="131"/>
        </w:trPr>
        <w:tc>
          <w:tcPr>
            <w:tcW w:w="567" w:type="dxa"/>
            <w:vMerge/>
          </w:tcPr>
          <w:p w:rsidR="00773A38" w:rsidRPr="005D30D3" w:rsidRDefault="00773A38" w:rsidP="00F13DAC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73A38" w:rsidRPr="005D30D3" w:rsidRDefault="00773A38" w:rsidP="00F13DAC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73A38" w:rsidRPr="005D30D3" w:rsidRDefault="00773A38" w:rsidP="00F13DAC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773A38" w:rsidRPr="005D30D3" w:rsidRDefault="00773A38" w:rsidP="00F13DAC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73A38" w:rsidRPr="005D30D3" w:rsidRDefault="00773A38" w:rsidP="003E1449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556" w:type="dxa"/>
            <w:gridSpan w:val="2"/>
          </w:tcPr>
          <w:p w:rsidR="00773A38" w:rsidRPr="005D30D3" w:rsidRDefault="00773A38" w:rsidP="001854C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276" w:type="dxa"/>
          </w:tcPr>
          <w:p w:rsidR="00773A38" w:rsidRPr="005D30D3" w:rsidRDefault="00773A38" w:rsidP="001854C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275" w:type="dxa"/>
            <w:gridSpan w:val="2"/>
          </w:tcPr>
          <w:p w:rsidR="00773A38" w:rsidRPr="00D333CB" w:rsidRDefault="00773A38" w:rsidP="00B12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0" w:type="dxa"/>
            <w:gridSpan w:val="2"/>
          </w:tcPr>
          <w:p w:rsidR="00773A38" w:rsidRPr="00D333CB" w:rsidRDefault="00773A38" w:rsidP="00330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73A38" w:rsidRPr="005D30D3" w:rsidRDefault="00773A38" w:rsidP="00F13DAC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A38" w:rsidRPr="005D30D3" w:rsidTr="00773A38">
        <w:trPr>
          <w:trHeight w:val="864"/>
        </w:trPr>
        <w:tc>
          <w:tcPr>
            <w:tcW w:w="567" w:type="dxa"/>
            <w:vMerge w:val="restart"/>
          </w:tcPr>
          <w:p w:rsidR="00773A38" w:rsidRPr="005D30D3" w:rsidRDefault="00773A38" w:rsidP="00F13D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vMerge w:val="restart"/>
          </w:tcPr>
          <w:p w:rsidR="00773A38" w:rsidRDefault="00773A38" w:rsidP="00F13DA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</w:p>
          <w:p w:rsidR="00773A38" w:rsidRPr="00E04160" w:rsidRDefault="00773A38" w:rsidP="00F93DD8">
            <w:pPr>
              <w:pStyle w:val="ad"/>
              <w:tabs>
                <w:tab w:val="left" w:pos="1134"/>
              </w:tabs>
            </w:pPr>
            <w:r w:rsidRPr="00E04160">
              <w:t>Создание условий для профессионального развития и подготовки кадров муниципальной службы в Администрации</w:t>
            </w:r>
            <w:r>
              <w:t>,</w:t>
            </w:r>
            <w:r w:rsidRPr="00E04160">
              <w:t xml:space="preserve"> стимулирование муниципальных служащих к обучению, повышению квалификации</w:t>
            </w:r>
          </w:p>
          <w:p w:rsidR="00773A38" w:rsidRPr="00F13DAC" w:rsidRDefault="00773A38" w:rsidP="00F93DD8">
            <w:pPr>
              <w:widowControl w:val="0"/>
            </w:pPr>
          </w:p>
        </w:tc>
        <w:tc>
          <w:tcPr>
            <w:tcW w:w="1560" w:type="dxa"/>
            <w:vAlign w:val="center"/>
          </w:tcPr>
          <w:p w:rsidR="00773A38" w:rsidRPr="005D30D3" w:rsidRDefault="00773A38" w:rsidP="00F13DAC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773A38" w:rsidRPr="005D30D3" w:rsidRDefault="00773A38" w:rsidP="00F13DAC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773A38" w:rsidRPr="005D30D3" w:rsidRDefault="00773A38" w:rsidP="00F13DAC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59" w:type="dxa"/>
          </w:tcPr>
          <w:p w:rsidR="00773A38" w:rsidRPr="005D30D3" w:rsidRDefault="00773A38" w:rsidP="001B07F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1556" w:type="dxa"/>
            <w:gridSpan w:val="2"/>
          </w:tcPr>
          <w:p w:rsidR="00773A38" w:rsidRPr="005D30D3" w:rsidRDefault="00773A38" w:rsidP="001854C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1276" w:type="dxa"/>
          </w:tcPr>
          <w:p w:rsidR="00773A38" w:rsidRPr="005D30D3" w:rsidRDefault="00773A38" w:rsidP="001854C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1275" w:type="dxa"/>
            <w:gridSpan w:val="2"/>
          </w:tcPr>
          <w:p w:rsidR="00773A38" w:rsidRPr="00D333CB" w:rsidRDefault="00773A38" w:rsidP="001B0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0" w:type="dxa"/>
            <w:gridSpan w:val="2"/>
          </w:tcPr>
          <w:p w:rsidR="00773A38" w:rsidRPr="00492089" w:rsidRDefault="00773A38" w:rsidP="00D333CB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73A38" w:rsidRPr="005D30D3" w:rsidRDefault="00773A38" w:rsidP="0031018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3A38" w:rsidRPr="005D30D3" w:rsidTr="00773A38">
        <w:tc>
          <w:tcPr>
            <w:tcW w:w="567" w:type="dxa"/>
            <w:vMerge/>
          </w:tcPr>
          <w:p w:rsidR="00773A38" w:rsidRPr="005D30D3" w:rsidRDefault="00773A38" w:rsidP="00F13DAC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73A38" w:rsidRPr="005D30D3" w:rsidRDefault="00773A38" w:rsidP="00F13DAC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73A38" w:rsidRPr="005D30D3" w:rsidRDefault="00773A38" w:rsidP="00F13DAC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773A38" w:rsidRPr="005D30D3" w:rsidRDefault="00773A38" w:rsidP="00F13DAC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73A38" w:rsidRPr="005D30D3" w:rsidRDefault="00773A38" w:rsidP="001B07F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556" w:type="dxa"/>
            <w:gridSpan w:val="2"/>
          </w:tcPr>
          <w:p w:rsidR="00773A38" w:rsidRPr="005D30D3" w:rsidRDefault="00773A38" w:rsidP="001854C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276" w:type="dxa"/>
          </w:tcPr>
          <w:p w:rsidR="00773A38" w:rsidRPr="005D30D3" w:rsidRDefault="00773A38" w:rsidP="001854C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275" w:type="dxa"/>
            <w:gridSpan w:val="2"/>
          </w:tcPr>
          <w:p w:rsidR="00773A38" w:rsidRPr="00D333CB" w:rsidRDefault="00773A38" w:rsidP="001B0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0" w:type="dxa"/>
            <w:gridSpan w:val="2"/>
          </w:tcPr>
          <w:p w:rsidR="00773A38" w:rsidRPr="00492089" w:rsidRDefault="00773A38" w:rsidP="003E1449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773A38" w:rsidRPr="005D30D3" w:rsidRDefault="00773A38" w:rsidP="00F13DAC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A38" w:rsidRPr="005D30D3" w:rsidTr="00773A38">
        <w:trPr>
          <w:trHeight w:val="131"/>
        </w:trPr>
        <w:tc>
          <w:tcPr>
            <w:tcW w:w="567" w:type="dxa"/>
            <w:vMerge/>
          </w:tcPr>
          <w:p w:rsidR="00773A38" w:rsidRPr="005D30D3" w:rsidRDefault="00773A38" w:rsidP="00F13DAC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773A38" w:rsidRPr="00F13DAC" w:rsidRDefault="00773A38" w:rsidP="00F13DAC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73A38" w:rsidRPr="005D30D3" w:rsidRDefault="00773A38" w:rsidP="00F13DAC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73A38" w:rsidRPr="005D30D3" w:rsidRDefault="00773A38" w:rsidP="00F13DAC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73A38" w:rsidRPr="00492089" w:rsidRDefault="00773A38" w:rsidP="00896ECB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6" w:type="dxa"/>
            <w:gridSpan w:val="2"/>
          </w:tcPr>
          <w:p w:rsidR="00773A38" w:rsidRPr="00D333CB" w:rsidRDefault="00773A38" w:rsidP="00896ECB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773A38" w:rsidRPr="00492089" w:rsidRDefault="00773A38" w:rsidP="00896ECB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773A38" w:rsidRPr="00492089" w:rsidRDefault="00773A38" w:rsidP="00896ECB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gridSpan w:val="2"/>
          </w:tcPr>
          <w:p w:rsidR="00773A38" w:rsidRPr="00492089" w:rsidRDefault="00773A38" w:rsidP="00896ECB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773A38" w:rsidRPr="005D30D3" w:rsidRDefault="00773A38" w:rsidP="00F13DAC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018E" w:rsidRDefault="0031018E" w:rsidP="00357FAF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</w:p>
    <w:p w:rsidR="0031018E" w:rsidRDefault="0031018E" w:rsidP="00357FAF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</w:p>
    <w:p w:rsidR="00B73B23" w:rsidRDefault="00B73B23" w:rsidP="00357FAF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</w:p>
    <w:p w:rsidR="00B73B23" w:rsidRDefault="00B73B23" w:rsidP="00357FAF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</w:p>
    <w:p w:rsidR="00773A38" w:rsidRDefault="00773A38" w:rsidP="00357FAF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</w:p>
    <w:p w:rsidR="0031018E" w:rsidRDefault="0031018E" w:rsidP="00357FAF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</w:p>
    <w:p w:rsidR="0031018E" w:rsidRPr="00E17C57" w:rsidRDefault="00773A38" w:rsidP="0031018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3.</w:t>
      </w:r>
      <w:r w:rsidR="0031018E">
        <w:rPr>
          <w:b/>
        </w:rPr>
        <w:t xml:space="preserve"> </w:t>
      </w:r>
      <w:r w:rsidR="0031018E" w:rsidRPr="00E17C57">
        <w:rPr>
          <w:b/>
        </w:rPr>
        <w:t>Сведения о порядке сбора информации и методике расчета показателей</w:t>
      </w:r>
      <w:r w:rsidR="006F7706">
        <w:rPr>
          <w:b/>
        </w:rPr>
        <w:t xml:space="preserve"> </w:t>
      </w:r>
      <w:r w:rsidR="0031018E" w:rsidRPr="00E17C57">
        <w:rPr>
          <w:b/>
        </w:rPr>
        <w:t xml:space="preserve"> </w:t>
      </w:r>
    </w:p>
    <w:p w:rsidR="000A402B" w:rsidRPr="00C7614A" w:rsidRDefault="000A402B" w:rsidP="000A40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14A">
        <w:rPr>
          <w:b/>
          <w:sz w:val="28"/>
          <w:szCs w:val="28"/>
        </w:rPr>
        <w:t xml:space="preserve">«Развитие муниципальной службы в администрации муниципального образования  </w:t>
      </w:r>
      <w:proofErr w:type="spellStart"/>
      <w:r w:rsidRPr="00C7614A">
        <w:rPr>
          <w:b/>
          <w:sz w:val="28"/>
          <w:szCs w:val="28"/>
        </w:rPr>
        <w:t>Суховское</w:t>
      </w:r>
      <w:proofErr w:type="spellEnd"/>
      <w:r w:rsidRPr="00C7614A">
        <w:rPr>
          <w:b/>
          <w:sz w:val="28"/>
          <w:szCs w:val="28"/>
        </w:rPr>
        <w:t xml:space="preserve"> сельское поселение  Кировского муниципального района Ленинградской области на 202</w:t>
      </w:r>
      <w:r>
        <w:rPr>
          <w:b/>
          <w:sz w:val="28"/>
          <w:szCs w:val="28"/>
        </w:rPr>
        <w:t>2</w:t>
      </w:r>
      <w:r w:rsidRPr="00C7614A">
        <w:rPr>
          <w:b/>
          <w:sz w:val="28"/>
          <w:szCs w:val="28"/>
        </w:rPr>
        <w:t>-2025 годы»</w:t>
      </w:r>
    </w:p>
    <w:p w:rsidR="0031018E" w:rsidRPr="00E17C57" w:rsidRDefault="0031018E" w:rsidP="003101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631"/>
        <w:gridCol w:w="992"/>
        <w:gridCol w:w="1073"/>
        <w:gridCol w:w="3322"/>
        <w:gridCol w:w="1132"/>
        <w:gridCol w:w="1559"/>
        <w:gridCol w:w="4255"/>
      </w:tblGrid>
      <w:tr w:rsidR="0031018E" w:rsidRPr="00E17C57" w:rsidTr="003E1449">
        <w:trPr>
          <w:cantSplit/>
          <w:trHeight w:val="782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3041C5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41C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041C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041C5">
              <w:rPr>
                <w:sz w:val="20"/>
                <w:szCs w:val="20"/>
              </w:rPr>
              <w:t>/</w:t>
            </w:r>
            <w:proofErr w:type="spellStart"/>
            <w:r w:rsidRPr="003041C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Временная характеристика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Алгоритм формирования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Срок предоставления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2823E8">
              <w:rPr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Реквизиты акта</w:t>
            </w:r>
          </w:p>
        </w:tc>
      </w:tr>
      <w:tr w:rsidR="0031018E" w:rsidRPr="00E17C57" w:rsidTr="003E1449">
        <w:trPr>
          <w:cantSplit/>
          <w:trHeight w:val="8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E" w:rsidRPr="002823E8" w:rsidRDefault="0031018E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8</w:t>
            </w:r>
          </w:p>
        </w:tc>
      </w:tr>
      <w:tr w:rsidR="000A402B" w:rsidRPr="006F7706" w:rsidTr="003E1449">
        <w:trPr>
          <w:trHeight w:val="17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2823E8" w:rsidRDefault="000A402B" w:rsidP="003E14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E04160" w:rsidRDefault="000A402B" w:rsidP="001B07F8">
            <w:pPr>
              <w:pStyle w:val="ad"/>
              <w:tabs>
                <w:tab w:val="left" w:pos="1134"/>
              </w:tabs>
            </w:pPr>
            <w:r>
              <w:t>Совершенствование нормативной правовой базы по вопросам развития муниципальной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2823E8" w:rsidRDefault="000A402B" w:rsidP="003E1449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0A402B" w:rsidRPr="002823E8" w:rsidRDefault="000A402B" w:rsidP="003E1449">
            <w:pPr>
              <w:autoSpaceDE w:val="0"/>
              <w:autoSpaceDN w:val="0"/>
              <w:adjustRightInd w:val="0"/>
              <w:ind w:left="18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руб.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2823E8" w:rsidRDefault="000A402B" w:rsidP="000A4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2022-2025 </w:t>
            </w:r>
            <w:proofErr w:type="spellStart"/>
            <w:proofErr w:type="gramStart"/>
            <w:r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2823E8" w:rsidRDefault="000A402B" w:rsidP="003E14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Расчет финансовых сре</w:t>
            </w:r>
            <w:proofErr w:type="gramStart"/>
            <w:r w:rsidRPr="002823E8">
              <w:rPr>
                <w:sz w:val="20"/>
                <w:szCs w:val="20"/>
              </w:rPr>
              <w:t>дств пр</w:t>
            </w:r>
            <w:proofErr w:type="gramEnd"/>
            <w:r w:rsidRPr="002823E8">
              <w:rPr>
                <w:sz w:val="20"/>
                <w:szCs w:val="20"/>
              </w:rPr>
              <w:t>оизведен по среднерыночной цене на данный вид услуги, установленной по результатам опроса организаций – поставщиков соответствующе</w:t>
            </w:r>
            <w:r>
              <w:rPr>
                <w:sz w:val="20"/>
                <w:szCs w:val="20"/>
              </w:rPr>
              <w:t>й</w:t>
            </w:r>
            <w:r w:rsidRPr="002823E8">
              <w:rPr>
                <w:sz w:val="20"/>
                <w:szCs w:val="20"/>
              </w:rPr>
              <w:t xml:space="preserve"> услуги.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2823E8" w:rsidRDefault="000A402B" w:rsidP="003E14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2823E8" w:rsidRDefault="000A402B" w:rsidP="00310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МО </w:t>
            </w:r>
            <w:proofErr w:type="spellStart"/>
            <w:r>
              <w:rPr>
                <w:sz w:val="20"/>
                <w:szCs w:val="20"/>
              </w:rPr>
              <w:t>Суховское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0A402B" w:rsidRDefault="000A402B" w:rsidP="000A402B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0A402B">
              <w:rPr>
                <w:bCs/>
                <w:kern w:val="36"/>
              </w:rPr>
              <w:t xml:space="preserve">Федеральный закон от 02.03.2007 N 25-ФЗ (ред. от 26.05.2021) "О муниципальной службе в Российской Федерации" </w:t>
            </w:r>
          </w:p>
          <w:p w:rsidR="000A402B" w:rsidRPr="006F7706" w:rsidRDefault="000A402B" w:rsidP="006F7706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</w:tr>
      <w:tr w:rsidR="000A402B" w:rsidRPr="00E17C57" w:rsidTr="003E144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2823E8" w:rsidRDefault="000A402B" w:rsidP="003E14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E04160" w:rsidRDefault="000A402B" w:rsidP="001B07F8">
            <w:pPr>
              <w:pStyle w:val="ad"/>
              <w:tabs>
                <w:tab w:val="left" w:pos="1134"/>
              </w:tabs>
            </w:pPr>
            <w:r w:rsidRPr="00E04160">
              <w:t>Создание условий для профессионального развития и подготовки кадров муниципальной службы в Администрации</w:t>
            </w:r>
            <w:r>
              <w:t>,</w:t>
            </w:r>
            <w:r w:rsidRPr="00E04160">
              <w:t xml:space="preserve"> стимулирование муниципальных служащих к обучению, повышению квалификации</w:t>
            </w:r>
          </w:p>
          <w:p w:rsidR="000A402B" w:rsidRPr="00E04160" w:rsidRDefault="000A402B" w:rsidP="001B07F8">
            <w:pPr>
              <w:pStyle w:val="ad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2823E8" w:rsidRDefault="000A402B" w:rsidP="003E1449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0A402B" w:rsidRPr="002823E8" w:rsidRDefault="000A402B" w:rsidP="003E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2823E8" w:rsidRDefault="000A402B" w:rsidP="004C0C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2022-2026 гг.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2823E8" w:rsidRDefault="000A402B" w:rsidP="003E14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Расчет финансовых сре</w:t>
            </w:r>
            <w:proofErr w:type="gramStart"/>
            <w:r w:rsidRPr="002823E8">
              <w:rPr>
                <w:sz w:val="20"/>
                <w:szCs w:val="20"/>
              </w:rPr>
              <w:t>дств пр</w:t>
            </w:r>
            <w:proofErr w:type="gramEnd"/>
            <w:r w:rsidRPr="002823E8">
              <w:rPr>
                <w:sz w:val="20"/>
                <w:szCs w:val="20"/>
              </w:rPr>
              <w:t>оизведен по среднерыночной цене на данный вид товара  (услуги), установленной по результатам опроса организаций – поставщиков соответствующего товара (услуги)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2823E8" w:rsidRDefault="000A402B" w:rsidP="003E14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2823E8" w:rsidRDefault="000A402B" w:rsidP="003E14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МО </w:t>
            </w:r>
            <w:proofErr w:type="spellStart"/>
            <w:r>
              <w:rPr>
                <w:sz w:val="20"/>
                <w:szCs w:val="20"/>
              </w:rPr>
              <w:t>Суховское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0A402B" w:rsidRDefault="000A402B" w:rsidP="000A402B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0A402B">
              <w:rPr>
                <w:bCs/>
                <w:kern w:val="36"/>
              </w:rPr>
              <w:t xml:space="preserve">Федеральный закон от 02.03.2007 N 25-ФЗ (ред. от 26.05.2021) "О муниципальной службе в Российской Федерации" </w:t>
            </w:r>
          </w:p>
          <w:p w:rsidR="000A402B" w:rsidRPr="002823E8" w:rsidRDefault="000A402B" w:rsidP="003A51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73B23" w:rsidRDefault="00B73B23" w:rsidP="003A5105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</w:p>
    <w:p w:rsidR="00B73B23" w:rsidRDefault="00B73B23" w:rsidP="003A5105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</w:p>
    <w:p w:rsidR="00B73B23" w:rsidRDefault="00B73B23" w:rsidP="003A5105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</w:p>
    <w:p w:rsidR="003A5105" w:rsidRDefault="00773A38" w:rsidP="003A5105">
      <w:pPr>
        <w:ind w:firstLine="709"/>
        <w:jc w:val="center"/>
        <w:rPr>
          <w:b/>
        </w:rPr>
      </w:pPr>
      <w:r>
        <w:rPr>
          <w:b/>
        </w:rPr>
        <w:lastRenderedPageBreak/>
        <w:t>4.</w:t>
      </w:r>
      <w:r w:rsidR="003A5105">
        <w:rPr>
          <w:b/>
        </w:rPr>
        <w:t xml:space="preserve"> </w:t>
      </w:r>
      <w:r w:rsidR="003A5105" w:rsidRPr="002A46C6">
        <w:rPr>
          <w:b/>
        </w:rPr>
        <w:t xml:space="preserve">План реализации </w:t>
      </w:r>
    </w:p>
    <w:tbl>
      <w:tblPr>
        <w:tblW w:w="15041" w:type="dxa"/>
        <w:tblInd w:w="93" w:type="dxa"/>
        <w:tblLayout w:type="fixed"/>
        <w:tblLook w:val="04A0"/>
      </w:tblPr>
      <w:tblGrid>
        <w:gridCol w:w="3843"/>
        <w:gridCol w:w="3969"/>
        <w:gridCol w:w="1275"/>
        <w:gridCol w:w="993"/>
        <w:gridCol w:w="1417"/>
        <w:gridCol w:w="1133"/>
        <w:gridCol w:w="1134"/>
        <w:gridCol w:w="1277"/>
      </w:tblGrid>
      <w:tr w:rsidR="003A5105" w:rsidRPr="004F39EA" w:rsidTr="003E1449">
        <w:trPr>
          <w:trHeight w:val="593"/>
          <w:tblHeader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Оценка расходов (руб. в ценах соответствующих лет)</w:t>
            </w:r>
          </w:p>
        </w:tc>
      </w:tr>
      <w:tr w:rsidR="003A5105" w:rsidRPr="004F39EA" w:rsidTr="003E1449">
        <w:trPr>
          <w:trHeight w:val="510"/>
          <w:tblHeader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05" w:rsidRPr="00165A5D" w:rsidRDefault="003A5105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05" w:rsidRPr="00165A5D" w:rsidRDefault="003A5105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05" w:rsidRPr="00165A5D" w:rsidRDefault="003A5105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3A5105" w:rsidRPr="004F39EA" w:rsidTr="003E1449">
        <w:trPr>
          <w:trHeight w:val="30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tabs>
                <w:tab w:val="left" w:pos="543"/>
              </w:tabs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8</w:t>
            </w:r>
          </w:p>
        </w:tc>
      </w:tr>
      <w:tr w:rsidR="007C593E" w:rsidRPr="004F39EA" w:rsidTr="003E1449">
        <w:trPr>
          <w:trHeight w:val="53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93E" w:rsidRPr="00755298" w:rsidRDefault="00755298" w:rsidP="007552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55298">
              <w:rPr>
                <w:sz w:val="22"/>
                <w:szCs w:val="22"/>
              </w:rPr>
              <w:t xml:space="preserve">Развитие муниципальной службы в администрации муниципального образования  </w:t>
            </w:r>
            <w:proofErr w:type="spellStart"/>
            <w:r w:rsidRPr="00755298">
              <w:rPr>
                <w:sz w:val="22"/>
                <w:szCs w:val="22"/>
              </w:rPr>
              <w:t>Суховское</w:t>
            </w:r>
            <w:proofErr w:type="spellEnd"/>
            <w:r w:rsidRPr="00755298">
              <w:rPr>
                <w:sz w:val="22"/>
                <w:szCs w:val="22"/>
              </w:rPr>
              <w:t xml:space="preserve"> сельское поселение  Кировского муниципального района Ленинградской области на 2022-2025 годы»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165A5D" w:rsidRDefault="007C593E" w:rsidP="0075529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МО </w:t>
            </w:r>
            <w:proofErr w:type="spellStart"/>
            <w:r>
              <w:rPr>
                <w:sz w:val="20"/>
                <w:szCs w:val="20"/>
              </w:rPr>
              <w:t>Суховское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ведущий специалист </w:t>
            </w:r>
            <w:r w:rsidR="00755298">
              <w:rPr>
                <w:sz w:val="20"/>
                <w:szCs w:val="20"/>
              </w:rPr>
              <w:t>ответственный за кадры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165A5D" w:rsidRDefault="007C593E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165A5D" w:rsidRDefault="00755298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165A5D" w:rsidRDefault="007C593E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165A5D" w:rsidRDefault="007C593E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165A5D" w:rsidRDefault="00755298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4C0CCE" w:rsidRDefault="007C593E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593E" w:rsidRPr="004F39EA" w:rsidTr="003E1449">
        <w:trPr>
          <w:trHeight w:val="54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93E" w:rsidRPr="00165A5D" w:rsidRDefault="007C593E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93E" w:rsidRPr="00165A5D" w:rsidRDefault="007C593E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165A5D" w:rsidRDefault="007C593E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165A5D" w:rsidRDefault="003A6553" w:rsidP="007552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165A5D" w:rsidRDefault="007C593E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165A5D" w:rsidRDefault="007C593E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165A5D" w:rsidRDefault="003A6553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4C0CCE" w:rsidRDefault="007C593E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593E" w:rsidRPr="004F39EA" w:rsidTr="003E1449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93E" w:rsidRPr="00165A5D" w:rsidRDefault="007C593E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93E" w:rsidRPr="00165A5D" w:rsidRDefault="007C593E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165A5D" w:rsidRDefault="007C593E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165A5D" w:rsidRDefault="003A6553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165A5D" w:rsidRDefault="007C593E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165A5D" w:rsidRDefault="007C593E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165A5D" w:rsidRDefault="003A6553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4C0CCE" w:rsidRDefault="007C593E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593E" w:rsidRPr="004F39EA" w:rsidTr="003E1449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93E" w:rsidRPr="00165A5D" w:rsidRDefault="007C593E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93E" w:rsidRPr="00165A5D" w:rsidRDefault="007C593E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165A5D" w:rsidRDefault="007C593E" w:rsidP="003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165A5D" w:rsidRDefault="00755298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165A5D" w:rsidRDefault="007C593E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165A5D" w:rsidRDefault="007C593E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165A5D" w:rsidRDefault="003A6553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4C0CCE" w:rsidRDefault="007C593E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593E" w:rsidRPr="004F39EA" w:rsidTr="003E1449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93E" w:rsidRPr="00165A5D" w:rsidRDefault="007C593E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93E" w:rsidRPr="00165A5D" w:rsidRDefault="007C593E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165A5D" w:rsidRDefault="007C593E" w:rsidP="003E1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165A5D" w:rsidRDefault="007C593E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165A5D" w:rsidRDefault="007C593E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165A5D" w:rsidRDefault="007C593E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165A5D" w:rsidRDefault="007C593E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93E" w:rsidRPr="004C0CCE" w:rsidRDefault="007C593E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5105" w:rsidRPr="004F39EA" w:rsidTr="003E1449">
        <w:trPr>
          <w:trHeight w:val="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Итого по муниципальной  программе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5105" w:rsidRPr="004F39EA" w:rsidTr="003E1449">
        <w:trPr>
          <w:trHeight w:val="361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5A5D">
              <w:rPr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3A5105" w:rsidRPr="004F39EA" w:rsidTr="003E1449">
        <w:trPr>
          <w:trHeight w:val="649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A5105" w:rsidRPr="00165A5D" w:rsidRDefault="00751EBA" w:rsidP="003E14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105" w:rsidRPr="00165A5D" w:rsidRDefault="00751EBA" w:rsidP="003E14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751EBA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751EBA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751EBA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751EBA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751EBA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751EBA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A5105" w:rsidRPr="004F39EA" w:rsidTr="003E1449">
        <w:trPr>
          <w:trHeight w:val="652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5105" w:rsidRPr="00165A5D" w:rsidRDefault="003A5105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105" w:rsidRPr="00165A5D" w:rsidRDefault="003A5105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5105" w:rsidRPr="004F39EA" w:rsidTr="003E1449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5105" w:rsidRPr="00165A5D" w:rsidRDefault="003A5105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105" w:rsidRPr="00165A5D" w:rsidRDefault="003A5105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5105" w:rsidRPr="004F39EA" w:rsidTr="00751EBA">
        <w:trPr>
          <w:trHeight w:val="7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05" w:rsidRPr="00165A5D" w:rsidRDefault="003A5105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105" w:rsidRPr="00165A5D" w:rsidRDefault="003A5105" w:rsidP="003E1449">
            <w:pPr>
              <w:tabs>
                <w:tab w:val="left" w:pos="2337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05" w:rsidRPr="00165A5D" w:rsidRDefault="003A5105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5105" w:rsidRPr="004F39EA" w:rsidTr="003E1449">
        <w:trPr>
          <w:trHeight w:val="295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2A44" w:rsidRDefault="00992A44" w:rsidP="003E144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3A5105" w:rsidRPr="00165A5D" w:rsidRDefault="003A5105" w:rsidP="003E14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5A5D">
              <w:rPr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755298" w:rsidRPr="003D2AC1" w:rsidTr="003E1449">
        <w:trPr>
          <w:trHeight w:val="523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298" w:rsidRPr="00755298" w:rsidRDefault="00755298" w:rsidP="001B07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55298">
              <w:rPr>
                <w:sz w:val="22"/>
                <w:szCs w:val="22"/>
              </w:rPr>
              <w:t xml:space="preserve">Развитие муниципальной службы в администрации муниципального образования  </w:t>
            </w:r>
            <w:proofErr w:type="spellStart"/>
            <w:r w:rsidRPr="00755298">
              <w:rPr>
                <w:sz w:val="22"/>
                <w:szCs w:val="22"/>
              </w:rPr>
              <w:t>Суховское</w:t>
            </w:r>
            <w:proofErr w:type="spellEnd"/>
            <w:r w:rsidRPr="00755298">
              <w:rPr>
                <w:sz w:val="22"/>
                <w:szCs w:val="22"/>
              </w:rPr>
              <w:t xml:space="preserve"> сельское поселение  Кировского муниципального района Ленинградской области на 2022-2025 годы»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298" w:rsidRPr="00165A5D" w:rsidRDefault="00755298" w:rsidP="001B07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МО </w:t>
            </w:r>
            <w:proofErr w:type="spellStart"/>
            <w:r>
              <w:rPr>
                <w:sz w:val="20"/>
                <w:szCs w:val="20"/>
              </w:rPr>
              <w:t>Суховское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ведущий специалист ответственный за кадры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298" w:rsidRPr="00165A5D" w:rsidRDefault="00755298" w:rsidP="001B07F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298" w:rsidRPr="00165A5D" w:rsidRDefault="00755298" w:rsidP="001B0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298" w:rsidRPr="00165A5D" w:rsidRDefault="00755298" w:rsidP="001B07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298" w:rsidRPr="00165A5D" w:rsidRDefault="00755298" w:rsidP="001B07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298" w:rsidRPr="00165A5D" w:rsidRDefault="00755298" w:rsidP="001B0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298" w:rsidRPr="004C0CCE" w:rsidRDefault="00755298" w:rsidP="001B07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298" w:rsidRPr="003D2AC1" w:rsidTr="002179A3">
        <w:trPr>
          <w:trHeight w:val="7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298" w:rsidRPr="00165A5D" w:rsidRDefault="00755298" w:rsidP="003E1449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298" w:rsidRPr="00165A5D" w:rsidRDefault="00755298" w:rsidP="003E14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298" w:rsidRPr="00165A5D" w:rsidRDefault="00755298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298" w:rsidRPr="00165A5D" w:rsidRDefault="003A6553" w:rsidP="00330B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298" w:rsidRPr="00165A5D" w:rsidRDefault="00755298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298" w:rsidRPr="00165A5D" w:rsidRDefault="00755298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298" w:rsidRPr="00165A5D" w:rsidRDefault="003A6553" w:rsidP="00330B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298" w:rsidRPr="00165A5D" w:rsidRDefault="00755298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298" w:rsidRPr="003D2AC1" w:rsidTr="002179A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298" w:rsidRPr="00165A5D" w:rsidRDefault="00755298" w:rsidP="003E1449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298" w:rsidRPr="00165A5D" w:rsidRDefault="00755298" w:rsidP="003E14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298" w:rsidRPr="00165A5D" w:rsidRDefault="00755298" w:rsidP="003E1449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298" w:rsidRPr="00165A5D" w:rsidRDefault="003A6553" w:rsidP="00330B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298" w:rsidRPr="00165A5D" w:rsidRDefault="00755298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298" w:rsidRPr="00165A5D" w:rsidRDefault="00755298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298" w:rsidRPr="00165A5D" w:rsidRDefault="003A6553" w:rsidP="00330B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298" w:rsidRPr="00165A5D" w:rsidRDefault="00755298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0A59" w:rsidRPr="003D2AC1" w:rsidTr="003E1449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A59" w:rsidRPr="00165A5D" w:rsidRDefault="004F0A59" w:rsidP="003E1449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A59" w:rsidRPr="00165A5D" w:rsidRDefault="004F0A59" w:rsidP="003E14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A59" w:rsidRPr="00165A5D" w:rsidRDefault="004F0A59" w:rsidP="003E1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A59" w:rsidRPr="00165A5D" w:rsidRDefault="00755298" w:rsidP="00330B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A59" w:rsidRPr="00165A5D" w:rsidRDefault="004F0A59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A59" w:rsidRPr="00165A5D" w:rsidRDefault="00755298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A59" w:rsidRPr="00165A5D" w:rsidRDefault="00755298" w:rsidP="00330B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A59" w:rsidRPr="00165A5D" w:rsidRDefault="004F0A59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0A59" w:rsidRPr="003D2AC1" w:rsidTr="003E1449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A59" w:rsidRPr="00165A5D" w:rsidRDefault="004F0A59" w:rsidP="003E1449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A59" w:rsidRPr="00165A5D" w:rsidRDefault="004F0A59" w:rsidP="003E14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A59" w:rsidRPr="00165A5D" w:rsidRDefault="004F0A59" w:rsidP="003E1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A59" w:rsidRPr="00165A5D" w:rsidRDefault="004F0A59" w:rsidP="00330B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A59" w:rsidRPr="00165A5D" w:rsidRDefault="004F0A59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A59" w:rsidRPr="00165A5D" w:rsidRDefault="004F0A59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A59" w:rsidRPr="00165A5D" w:rsidRDefault="004F0A59" w:rsidP="00330B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A59" w:rsidRPr="00165A5D" w:rsidRDefault="004F0A59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798D" w:rsidRPr="003D2AC1" w:rsidTr="003E1449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0798D" w:rsidRPr="00165A5D" w:rsidRDefault="0000798D" w:rsidP="003E1449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98D" w:rsidRPr="00165A5D" w:rsidRDefault="0000798D" w:rsidP="003E1449">
            <w:pPr>
              <w:rPr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8D" w:rsidRPr="00165A5D" w:rsidRDefault="0000798D" w:rsidP="003E1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8D" w:rsidRPr="00165A5D" w:rsidRDefault="003A6553" w:rsidP="00CF5D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8D" w:rsidRPr="00165A5D" w:rsidRDefault="0000798D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8D" w:rsidRPr="00165A5D" w:rsidRDefault="0000798D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8D" w:rsidRPr="00165A5D" w:rsidRDefault="0000798D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8D" w:rsidRPr="00165A5D" w:rsidRDefault="0000798D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6553" w:rsidRPr="003D2AC1" w:rsidTr="003E1449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A6553" w:rsidRPr="00165A5D" w:rsidRDefault="003A6553" w:rsidP="003E1449">
            <w:pPr>
              <w:pStyle w:val="ConsPlusCell"/>
              <w:ind w:left="34"/>
              <w:rPr>
                <w:color w:val="000000"/>
                <w:sz w:val="20"/>
                <w:szCs w:val="20"/>
              </w:rPr>
            </w:pPr>
            <w:r>
              <w:t xml:space="preserve">Совершенствование нормативной </w:t>
            </w:r>
            <w:r>
              <w:lastRenderedPageBreak/>
              <w:t>правовой базы по вопросам развития муниципальной службы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553" w:rsidRPr="00165A5D" w:rsidRDefault="003A6553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1854C4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1854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1854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6553" w:rsidRPr="003D2AC1" w:rsidTr="003E1449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553" w:rsidRPr="00165A5D" w:rsidRDefault="003A6553" w:rsidP="003E1449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553" w:rsidRPr="00165A5D" w:rsidRDefault="003A6553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1854C4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1854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1854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6553" w:rsidRPr="003D2AC1" w:rsidTr="003E1449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553" w:rsidRPr="00165A5D" w:rsidRDefault="003A6553" w:rsidP="003E1449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553" w:rsidRPr="00165A5D" w:rsidRDefault="003A6553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1854C4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1854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1854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6553" w:rsidRPr="003D2AC1" w:rsidTr="003E1449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553" w:rsidRPr="00165A5D" w:rsidRDefault="003A6553" w:rsidP="003E1449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553" w:rsidRPr="00165A5D" w:rsidRDefault="003A6553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18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1854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1854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2A44" w:rsidRPr="003D2AC1" w:rsidTr="003E1449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2A44" w:rsidRPr="00165A5D" w:rsidRDefault="00992A44" w:rsidP="003E1449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A44" w:rsidRPr="00165A5D" w:rsidRDefault="00992A44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A44" w:rsidRPr="00165A5D" w:rsidRDefault="00992A44" w:rsidP="003E1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A44" w:rsidRPr="00165A5D" w:rsidRDefault="00992A44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A44" w:rsidRPr="00165A5D" w:rsidRDefault="00992A44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A44" w:rsidRPr="00165A5D" w:rsidRDefault="00992A44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A44" w:rsidRPr="00165A5D" w:rsidRDefault="00992A44" w:rsidP="00330B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A44" w:rsidRPr="00165A5D" w:rsidRDefault="00992A44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798D" w:rsidRPr="003D2AC1" w:rsidTr="003E1449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8D" w:rsidRPr="00165A5D" w:rsidRDefault="0000798D" w:rsidP="003E1449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98D" w:rsidRPr="00165A5D" w:rsidRDefault="003A6553" w:rsidP="003E14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8D" w:rsidRPr="00165A5D" w:rsidRDefault="0000798D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8D" w:rsidRPr="00165A5D" w:rsidRDefault="003A6553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98D" w:rsidRPr="00165A5D" w:rsidRDefault="0000798D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98D" w:rsidRPr="00165A5D" w:rsidRDefault="0000798D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98D" w:rsidRPr="00165A5D" w:rsidRDefault="003A6553" w:rsidP="00896E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98D" w:rsidRPr="00165A5D" w:rsidRDefault="0000798D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6553" w:rsidRPr="003D2AC1" w:rsidTr="00A976AD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A6553" w:rsidRPr="00E04160" w:rsidRDefault="003A6553" w:rsidP="003A6553">
            <w:pPr>
              <w:pStyle w:val="ad"/>
              <w:tabs>
                <w:tab w:val="left" w:pos="1134"/>
              </w:tabs>
            </w:pPr>
            <w:r w:rsidRPr="00E04160">
              <w:t>Создание условий для профессионального развития и подготовки кадров муниципальной службы в Администрации</w:t>
            </w:r>
            <w:r>
              <w:t>,</w:t>
            </w:r>
            <w:r w:rsidRPr="00E04160">
              <w:t xml:space="preserve"> стимулирование муниципальных служащих к обучению, повышению квалификации</w:t>
            </w:r>
          </w:p>
          <w:p w:rsidR="003A6553" w:rsidRPr="002823E8" w:rsidRDefault="003A6553" w:rsidP="003E1449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553" w:rsidRPr="00165A5D" w:rsidRDefault="003A6553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1854C4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553" w:rsidRDefault="003A6553">
            <w:r w:rsidRPr="0062635C">
              <w:rPr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553" w:rsidRDefault="003A6553">
            <w:r w:rsidRPr="00826714">
              <w:rPr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6553" w:rsidRPr="003D2AC1" w:rsidTr="00A976AD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553" w:rsidRPr="00165A5D" w:rsidRDefault="003A6553" w:rsidP="003E1449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553" w:rsidRPr="00165A5D" w:rsidRDefault="003A6553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1854C4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553" w:rsidRDefault="003A6553">
            <w:r w:rsidRPr="0062635C">
              <w:rPr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553" w:rsidRDefault="003A6553">
            <w:r w:rsidRPr="00826714">
              <w:rPr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6553" w:rsidRPr="003D2AC1" w:rsidTr="00A976AD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553" w:rsidRPr="00165A5D" w:rsidRDefault="003A6553" w:rsidP="003E1449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553" w:rsidRPr="00165A5D" w:rsidRDefault="003A6553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1854C4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553" w:rsidRDefault="003A6553">
            <w:r w:rsidRPr="0062635C">
              <w:rPr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553" w:rsidRDefault="003A6553">
            <w:r w:rsidRPr="00826714">
              <w:rPr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6553" w:rsidRPr="003D2AC1" w:rsidTr="003E1449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6553" w:rsidRPr="00165A5D" w:rsidRDefault="003A6553" w:rsidP="003E1449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553" w:rsidRPr="00165A5D" w:rsidRDefault="003A6553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18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1854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1854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53" w:rsidRPr="00165A5D" w:rsidRDefault="003A6553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2A44" w:rsidRPr="003D2AC1" w:rsidTr="003E1449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2A44" w:rsidRPr="00165A5D" w:rsidRDefault="00992A44" w:rsidP="003E1449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A44" w:rsidRPr="00165A5D" w:rsidRDefault="00992A44" w:rsidP="003E14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A44" w:rsidRPr="00165A5D" w:rsidRDefault="00992A44" w:rsidP="003E1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A44" w:rsidRPr="00165A5D" w:rsidRDefault="00992A44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A44" w:rsidRPr="00165A5D" w:rsidRDefault="00992A44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A44" w:rsidRPr="00165A5D" w:rsidRDefault="00992A44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A44" w:rsidRPr="00165A5D" w:rsidRDefault="00992A44" w:rsidP="00330B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A44" w:rsidRPr="00165A5D" w:rsidRDefault="00992A44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2A44" w:rsidRPr="003D2AC1" w:rsidTr="003E1449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44" w:rsidRPr="00165A5D" w:rsidRDefault="00992A44" w:rsidP="003E1449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A44" w:rsidRPr="00165A5D" w:rsidRDefault="003A6553" w:rsidP="003E14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A44" w:rsidRPr="00165A5D" w:rsidRDefault="00992A44" w:rsidP="003E1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A44" w:rsidRPr="00165A5D" w:rsidRDefault="003A6553" w:rsidP="003E1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A44" w:rsidRPr="00165A5D" w:rsidRDefault="00992A44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A44" w:rsidRPr="00165A5D" w:rsidRDefault="00992A44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A44" w:rsidRPr="00165A5D" w:rsidRDefault="003A6553" w:rsidP="00330B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A44" w:rsidRPr="00165A5D" w:rsidRDefault="00992A44" w:rsidP="00896E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A38" w:rsidRPr="003D2AC1" w:rsidTr="003E1449">
        <w:trPr>
          <w:gridAfter w:val="6"/>
          <w:wAfter w:w="7229" w:type="dxa"/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3A38" w:rsidRPr="00165A5D" w:rsidRDefault="00773A38" w:rsidP="003E1449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A38" w:rsidRPr="00165A5D" w:rsidRDefault="00773A38" w:rsidP="003E1449">
            <w:pPr>
              <w:rPr>
                <w:color w:val="000000"/>
                <w:sz w:val="20"/>
                <w:szCs w:val="20"/>
              </w:rPr>
            </w:pPr>
          </w:p>
        </w:tc>
      </w:tr>
      <w:tr w:rsidR="00773A38" w:rsidRPr="003D2AC1" w:rsidTr="003E1449">
        <w:trPr>
          <w:gridAfter w:val="6"/>
          <w:wAfter w:w="7229" w:type="dxa"/>
          <w:trHeight w:val="300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3A38" w:rsidRPr="00165A5D" w:rsidRDefault="00773A38" w:rsidP="003E1449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A38" w:rsidRPr="00165A5D" w:rsidRDefault="00773A38" w:rsidP="003E1449">
            <w:pPr>
              <w:rPr>
                <w:color w:val="000000"/>
                <w:sz w:val="20"/>
                <w:szCs w:val="20"/>
              </w:rPr>
            </w:pPr>
          </w:p>
        </w:tc>
      </w:tr>
      <w:tr w:rsidR="00773A38" w:rsidRPr="003D2AC1" w:rsidTr="003E1449">
        <w:trPr>
          <w:gridAfter w:val="6"/>
          <w:wAfter w:w="7229" w:type="dxa"/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38" w:rsidRPr="00165A5D" w:rsidRDefault="00773A38" w:rsidP="003E1449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A38" w:rsidRPr="00165A5D" w:rsidRDefault="00773A38" w:rsidP="003E144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73A38" w:rsidRDefault="00773A38" w:rsidP="003A5105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</w:p>
    <w:p w:rsidR="003A5105" w:rsidRDefault="003A5105" w:rsidP="003A5105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</w:p>
    <w:p w:rsidR="003A5105" w:rsidRDefault="003A5105" w:rsidP="003A5105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</w:p>
    <w:p w:rsidR="00896ECB" w:rsidRDefault="00896ECB" w:rsidP="003A5105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</w:p>
    <w:p w:rsidR="00896ECB" w:rsidRDefault="00896ECB" w:rsidP="003A5105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</w:p>
    <w:p w:rsidR="00896ECB" w:rsidRDefault="00896ECB" w:rsidP="003A5105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</w:p>
    <w:p w:rsidR="003A5105" w:rsidRDefault="003A5105" w:rsidP="003A5105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</w:p>
    <w:p w:rsidR="00773A38" w:rsidRDefault="00773A38" w:rsidP="003A5105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</w:p>
    <w:p w:rsidR="00773A38" w:rsidRDefault="00773A38" w:rsidP="003A5105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</w:p>
    <w:p w:rsidR="00773A38" w:rsidRDefault="00773A38" w:rsidP="003A5105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</w:p>
    <w:p w:rsidR="00DA2196" w:rsidRDefault="00DA2196" w:rsidP="00ED5333">
      <w:pPr>
        <w:widowControl w:val="0"/>
        <w:ind w:left="11482" w:hanging="283"/>
      </w:pPr>
    </w:p>
    <w:sectPr w:rsidR="00DA2196" w:rsidSect="000F22A4">
      <w:headerReference w:type="default" r:id="rId14"/>
      <w:footerReference w:type="even" r:id="rId15"/>
      <w:footerReference w:type="default" r:id="rId16"/>
      <w:pgSz w:w="16838" w:h="11906" w:orient="landscape"/>
      <w:pgMar w:top="539" w:right="113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589" w:rsidRDefault="00657589" w:rsidP="00777E7E">
      <w:r>
        <w:separator/>
      </w:r>
    </w:p>
  </w:endnote>
  <w:endnote w:type="continuationSeparator" w:id="0">
    <w:p w:rsidR="00657589" w:rsidRDefault="00657589" w:rsidP="00777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4A" w:rsidRDefault="004E7C8E" w:rsidP="00D75A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61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614A" w:rsidRDefault="00C7614A" w:rsidP="00D75A6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4A" w:rsidRDefault="00C7614A" w:rsidP="00D75A6C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4A" w:rsidRDefault="004E7C8E" w:rsidP="00D75A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61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614A" w:rsidRDefault="00C7614A" w:rsidP="00D75A6C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4A" w:rsidRDefault="00C7614A" w:rsidP="00D75A6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589" w:rsidRDefault="00657589" w:rsidP="00777E7E">
      <w:r>
        <w:separator/>
      </w:r>
    </w:p>
  </w:footnote>
  <w:footnote w:type="continuationSeparator" w:id="0">
    <w:p w:rsidR="00657589" w:rsidRDefault="00657589" w:rsidP="00777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4A" w:rsidRDefault="004E7C8E">
    <w:pPr>
      <w:pStyle w:val="ab"/>
      <w:jc w:val="center"/>
    </w:pPr>
    <w:fldSimple w:instr=" PAGE   \* MERGEFORMAT ">
      <w:r w:rsidR="00F93DD8">
        <w:rPr>
          <w:noProof/>
        </w:rPr>
        <w:t>5</w:t>
      </w:r>
    </w:fldSimple>
  </w:p>
  <w:p w:rsidR="00C7614A" w:rsidRDefault="00C7614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4A" w:rsidRDefault="004E7C8E">
    <w:pPr>
      <w:pStyle w:val="ab"/>
      <w:jc w:val="center"/>
    </w:pPr>
    <w:fldSimple w:instr=" PAGE   \* MERGEFORMAT ">
      <w:r w:rsidR="00EC70FF">
        <w:rPr>
          <w:noProof/>
        </w:rPr>
        <w:t>8</w:t>
      </w:r>
    </w:fldSimple>
  </w:p>
  <w:p w:rsidR="00C7614A" w:rsidRDefault="00C7614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700"/>
    <w:multiLevelType w:val="hybridMultilevel"/>
    <w:tmpl w:val="37F62B42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6254"/>
    <w:multiLevelType w:val="hybridMultilevel"/>
    <w:tmpl w:val="E52C4FF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B54BD"/>
    <w:multiLevelType w:val="hybridMultilevel"/>
    <w:tmpl w:val="5C242F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22E63"/>
    <w:multiLevelType w:val="hybridMultilevel"/>
    <w:tmpl w:val="9EB89E2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C365C"/>
    <w:multiLevelType w:val="hybridMultilevel"/>
    <w:tmpl w:val="4CAC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55A53"/>
    <w:multiLevelType w:val="hybridMultilevel"/>
    <w:tmpl w:val="DA0E07A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244C2"/>
    <w:multiLevelType w:val="hybridMultilevel"/>
    <w:tmpl w:val="28B04E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B49"/>
    <w:rsid w:val="0000001E"/>
    <w:rsid w:val="00000081"/>
    <w:rsid w:val="0000014B"/>
    <w:rsid w:val="000027AD"/>
    <w:rsid w:val="00003EEE"/>
    <w:rsid w:val="00005A42"/>
    <w:rsid w:val="00006263"/>
    <w:rsid w:val="0000798D"/>
    <w:rsid w:val="00011F7B"/>
    <w:rsid w:val="00012C05"/>
    <w:rsid w:val="0001485D"/>
    <w:rsid w:val="00017035"/>
    <w:rsid w:val="0002390D"/>
    <w:rsid w:val="00023AFC"/>
    <w:rsid w:val="000306EE"/>
    <w:rsid w:val="00031E4E"/>
    <w:rsid w:val="00036A56"/>
    <w:rsid w:val="0003788B"/>
    <w:rsid w:val="000419B5"/>
    <w:rsid w:val="000423E3"/>
    <w:rsid w:val="000432CC"/>
    <w:rsid w:val="00045C8A"/>
    <w:rsid w:val="00054BB9"/>
    <w:rsid w:val="000560D2"/>
    <w:rsid w:val="0005689D"/>
    <w:rsid w:val="00056AFB"/>
    <w:rsid w:val="00057733"/>
    <w:rsid w:val="00060933"/>
    <w:rsid w:val="00064AF7"/>
    <w:rsid w:val="00064FE8"/>
    <w:rsid w:val="00065AAB"/>
    <w:rsid w:val="00066F4D"/>
    <w:rsid w:val="00067EF9"/>
    <w:rsid w:val="00070B7E"/>
    <w:rsid w:val="00071893"/>
    <w:rsid w:val="00072FFF"/>
    <w:rsid w:val="00074858"/>
    <w:rsid w:val="00074879"/>
    <w:rsid w:val="00076B13"/>
    <w:rsid w:val="00076E99"/>
    <w:rsid w:val="00077349"/>
    <w:rsid w:val="000871B4"/>
    <w:rsid w:val="000959D7"/>
    <w:rsid w:val="00095E30"/>
    <w:rsid w:val="00096878"/>
    <w:rsid w:val="00097970"/>
    <w:rsid w:val="000A392B"/>
    <w:rsid w:val="000A402B"/>
    <w:rsid w:val="000C0E88"/>
    <w:rsid w:val="000C2FAA"/>
    <w:rsid w:val="000C4508"/>
    <w:rsid w:val="000C5B84"/>
    <w:rsid w:val="000D20E3"/>
    <w:rsid w:val="000D3CD1"/>
    <w:rsid w:val="000D4612"/>
    <w:rsid w:val="000D62F6"/>
    <w:rsid w:val="000D66C6"/>
    <w:rsid w:val="000E1936"/>
    <w:rsid w:val="000E2040"/>
    <w:rsid w:val="000E5E6F"/>
    <w:rsid w:val="000E6D11"/>
    <w:rsid w:val="000E70AE"/>
    <w:rsid w:val="000F09F8"/>
    <w:rsid w:val="000F1267"/>
    <w:rsid w:val="000F22A4"/>
    <w:rsid w:val="000F2830"/>
    <w:rsid w:val="001012AC"/>
    <w:rsid w:val="00103A3A"/>
    <w:rsid w:val="001042C0"/>
    <w:rsid w:val="00105713"/>
    <w:rsid w:val="00105A35"/>
    <w:rsid w:val="00122C29"/>
    <w:rsid w:val="00124FE4"/>
    <w:rsid w:val="00130DFF"/>
    <w:rsid w:val="00135544"/>
    <w:rsid w:val="00140AB0"/>
    <w:rsid w:val="00141A3A"/>
    <w:rsid w:val="00141BEC"/>
    <w:rsid w:val="001434E4"/>
    <w:rsid w:val="001457D7"/>
    <w:rsid w:val="001518EC"/>
    <w:rsid w:val="00157D9F"/>
    <w:rsid w:val="00157FCF"/>
    <w:rsid w:val="00160809"/>
    <w:rsid w:val="001608FB"/>
    <w:rsid w:val="0016373D"/>
    <w:rsid w:val="001735B6"/>
    <w:rsid w:val="00177AC8"/>
    <w:rsid w:val="00183678"/>
    <w:rsid w:val="00187A33"/>
    <w:rsid w:val="00196160"/>
    <w:rsid w:val="001A4E06"/>
    <w:rsid w:val="001A70AB"/>
    <w:rsid w:val="001B23A2"/>
    <w:rsid w:val="001B4A03"/>
    <w:rsid w:val="001B4DCE"/>
    <w:rsid w:val="001C0F57"/>
    <w:rsid w:val="001C4427"/>
    <w:rsid w:val="001C6B62"/>
    <w:rsid w:val="001C7283"/>
    <w:rsid w:val="001C74A7"/>
    <w:rsid w:val="001C74B3"/>
    <w:rsid w:val="001D07BA"/>
    <w:rsid w:val="001D1431"/>
    <w:rsid w:val="001D51B8"/>
    <w:rsid w:val="001F26B5"/>
    <w:rsid w:val="001F40AF"/>
    <w:rsid w:val="001F6D88"/>
    <w:rsid w:val="001F7E12"/>
    <w:rsid w:val="00203341"/>
    <w:rsid w:val="002079A1"/>
    <w:rsid w:val="00213DB6"/>
    <w:rsid w:val="0022393B"/>
    <w:rsid w:val="002310C0"/>
    <w:rsid w:val="0024360C"/>
    <w:rsid w:val="002436C5"/>
    <w:rsid w:val="002503D2"/>
    <w:rsid w:val="002512A0"/>
    <w:rsid w:val="00254071"/>
    <w:rsid w:val="002557B6"/>
    <w:rsid w:val="0026608C"/>
    <w:rsid w:val="00266F93"/>
    <w:rsid w:val="002679D1"/>
    <w:rsid w:val="00270256"/>
    <w:rsid w:val="00275C33"/>
    <w:rsid w:val="0027646D"/>
    <w:rsid w:val="002767CD"/>
    <w:rsid w:val="00276E69"/>
    <w:rsid w:val="00281DE8"/>
    <w:rsid w:val="00284AE0"/>
    <w:rsid w:val="002865A3"/>
    <w:rsid w:val="00291D9C"/>
    <w:rsid w:val="002A262B"/>
    <w:rsid w:val="002A415C"/>
    <w:rsid w:val="002A6228"/>
    <w:rsid w:val="002A6C5B"/>
    <w:rsid w:val="002B38D6"/>
    <w:rsid w:val="002B3C50"/>
    <w:rsid w:val="002D2B67"/>
    <w:rsid w:val="002D3AC6"/>
    <w:rsid w:val="002F0203"/>
    <w:rsid w:val="002F6CEA"/>
    <w:rsid w:val="0030225D"/>
    <w:rsid w:val="003026DC"/>
    <w:rsid w:val="0031018E"/>
    <w:rsid w:val="00310E1F"/>
    <w:rsid w:val="003112A1"/>
    <w:rsid w:val="003129E4"/>
    <w:rsid w:val="003137D2"/>
    <w:rsid w:val="003209C7"/>
    <w:rsid w:val="00330A6D"/>
    <w:rsid w:val="00330B49"/>
    <w:rsid w:val="00331FE6"/>
    <w:rsid w:val="00342F45"/>
    <w:rsid w:val="003512E5"/>
    <w:rsid w:val="00352E8E"/>
    <w:rsid w:val="00354015"/>
    <w:rsid w:val="0035457D"/>
    <w:rsid w:val="00355410"/>
    <w:rsid w:val="00355B94"/>
    <w:rsid w:val="00357FAF"/>
    <w:rsid w:val="00360E53"/>
    <w:rsid w:val="00361937"/>
    <w:rsid w:val="00361CAA"/>
    <w:rsid w:val="00376105"/>
    <w:rsid w:val="00380791"/>
    <w:rsid w:val="00381B4C"/>
    <w:rsid w:val="003823DF"/>
    <w:rsid w:val="00384E4F"/>
    <w:rsid w:val="00385B15"/>
    <w:rsid w:val="00386449"/>
    <w:rsid w:val="00387FC9"/>
    <w:rsid w:val="003900E4"/>
    <w:rsid w:val="0039093E"/>
    <w:rsid w:val="00391309"/>
    <w:rsid w:val="00393E3C"/>
    <w:rsid w:val="003A0F69"/>
    <w:rsid w:val="003A1574"/>
    <w:rsid w:val="003A167D"/>
    <w:rsid w:val="003A18BC"/>
    <w:rsid w:val="003A44E5"/>
    <w:rsid w:val="003A5105"/>
    <w:rsid w:val="003A5CE7"/>
    <w:rsid w:val="003A6553"/>
    <w:rsid w:val="003B4236"/>
    <w:rsid w:val="003B5044"/>
    <w:rsid w:val="003B7AB3"/>
    <w:rsid w:val="003C0268"/>
    <w:rsid w:val="003C3BF5"/>
    <w:rsid w:val="003C744D"/>
    <w:rsid w:val="003D04E1"/>
    <w:rsid w:val="003D11D1"/>
    <w:rsid w:val="003D1885"/>
    <w:rsid w:val="003D32A1"/>
    <w:rsid w:val="003E1449"/>
    <w:rsid w:val="003E70A3"/>
    <w:rsid w:val="003E7459"/>
    <w:rsid w:val="003F2AC0"/>
    <w:rsid w:val="003F54E3"/>
    <w:rsid w:val="003F6192"/>
    <w:rsid w:val="00406534"/>
    <w:rsid w:val="00410F05"/>
    <w:rsid w:val="00411081"/>
    <w:rsid w:val="004112A4"/>
    <w:rsid w:val="00413709"/>
    <w:rsid w:val="00413E24"/>
    <w:rsid w:val="00413E95"/>
    <w:rsid w:val="00420C7A"/>
    <w:rsid w:val="00422323"/>
    <w:rsid w:val="004263B6"/>
    <w:rsid w:val="00436CA4"/>
    <w:rsid w:val="00437B10"/>
    <w:rsid w:val="00445DB4"/>
    <w:rsid w:val="00452B4A"/>
    <w:rsid w:val="00460A4A"/>
    <w:rsid w:val="00480E3C"/>
    <w:rsid w:val="0048504C"/>
    <w:rsid w:val="004919DF"/>
    <w:rsid w:val="00492089"/>
    <w:rsid w:val="00492A1E"/>
    <w:rsid w:val="004A1154"/>
    <w:rsid w:val="004A413D"/>
    <w:rsid w:val="004B5D47"/>
    <w:rsid w:val="004C0CCE"/>
    <w:rsid w:val="004C3B6E"/>
    <w:rsid w:val="004C4C6E"/>
    <w:rsid w:val="004D347A"/>
    <w:rsid w:val="004D50E2"/>
    <w:rsid w:val="004D607B"/>
    <w:rsid w:val="004E256C"/>
    <w:rsid w:val="004E6629"/>
    <w:rsid w:val="004E6C71"/>
    <w:rsid w:val="004E7C8E"/>
    <w:rsid w:val="004F0A59"/>
    <w:rsid w:val="004F141A"/>
    <w:rsid w:val="004F20CB"/>
    <w:rsid w:val="00510470"/>
    <w:rsid w:val="00512E65"/>
    <w:rsid w:val="00515173"/>
    <w:rsid w:val="00520AE6"/>
    <w:rsid w:val="00521DC4"/>
    <w:rsid w:val="00522AD5"/>
    <w:rsid w:val="005267C5"/>
    <w:rsid w:val="00527944"/>
    <w:rsid w:val="00527B3B"/>
    <w:rsid w:val="005376F2"/>
    <w:rsid w:val="00537EFE"/>
    <w:rsid w:val="005463DC"/>
    <w:rsid w:val="00553716"/>
    <w:rsid w:val="005564A7"/>
    <w:rsid w:val="00561641"/>
    <w:rsid w:val="00563121"/>
    <w:rsid w:val="00563D99"/>
    <w:rsid w:val="005709AD"/>
    <w:rsid w:val="00574688"/>
    <w:rsid w:val="00574CCF"/>
    <w:rsid w:val="00576E4C"/>
    <w:rsid w:val="005828D2"/>
    <w:rsid w:val="00585F82"/>
    <w:rsid w:val="00587B89"/>
    <w:rsid w:val="00587BB8"/>
    <w:rsid w:val="005935A2"/>
    <w:rsid w:val="00593D76"/>
    <w:rsid w:val="00594E0B"/>
    <w:rsid w:val="00596159"/>
    <w:rsid w:val="005A0C99"/>
    <w:rsid w:val="005A4A97"/>
    <w:rsid w:val="005A5D1D"/>
    <w:rsid w:val="005A6285"/>
    <w:rsid w:val="005B231D"/>
    <w:rsid w:val="005B28B9"/>
    <w:rsid w:val="005B543B"/>
    <w:rsid w:val="005B6875"/>
    <w:rsid w:val="005C5171"/>
    <w:rsid w:val="005C5E1C"/>
    <w:rsid w:val="005C72A7"/>
    <w:rsid w:val="005D1303"/>
    <w:rsid w:val="005E0BD2"/>
    <w:rsid w:val="005E448D"/>
    <w:rsid w:val="005E5EC2"/>
    <w:rsid w:val="005E691C"/>
    <w:rsid w:val="005F12A8"/>
    <w:rsid w:val="005F2208"/>
    <w:rsid w:val="005F3AC5"/>
    <w:rsid w:val="005F712E"/>
    <w:rsid w:val="005F71EC"/>
    <w:rsid w:val="005F78B2"/>
    <w:rsid w:val="00600E30"/>
    <w:rsid w:val="00602464"/>
    <w:rsid w:val="00605F29"/>
    <w:rsid w:val="00606524"/>
    <w:rsid w:val="00614D84"/>
    <w:rsid w:val="00615380"/>
    <w:rsid w:val="0061586A"/>
    <w:rsid w:val="00621235"/>
    <w:rsid w:val="00622513"/>
    <w:rsid w:val="00635F1E"/>
    <w:rsid w:val="00636EBB"/>
    <w:rsid w:val="00642674"/>
    <w:rsid w:val="00652E8D"/>
    <w:rsid w:val="00655930"/>
    <w:rsid w:val="00657589"/>
    <w:rsid w:val="00657CA1"/>
    <w:rsid w:val="00665D1C"/>
    <w:rsid w:val="00665F49"/>
    <w:rsid w:val="0066678A"/>
    <w:rsid w:val="0066766A"/>
    <w:rsid w:val="0067400E"/>
    <w:rsid w:val="00677F87"/>
    <w:rsid w:val="006858E3"/>
    <w:rsid w:val="00686573"/>
    <w:rsid w:val="00687A35"/>
    <w:rsid w:val="00695092"/>
    <w:rsid w:val="006A33EF"/>
    <w:rsid w:val="006A48D5"/>
    <w:rsid w:val="006A4E70"/>
    <w:rsid w:val="006B1CCC"/>
    <w:rsid w:val="006B4A43"/>
    <w:rsid w:val="006B5919"/>
    <w:rsid w:val="006C0544"/>
    <w:rsid w:val="006C39E8"/>
    <w:rsid w:val="006D1207"/>
    <w:rsid w:val="006D3F63"/>
    <w:rsid w:val="006E0972"/>
    <w:rsid w:val="006E5631"/>
    <w:rsid w:val="006F4F2E"/>
    <w:rsid w:val="006F52B7"/>
    <w:rsid w:val="006F57B7"/>
    <w:rsid w:val="006F7706"/>
    <w:rsid w:val="006F7F72"/>
    <w:rsid w:val="00700C39"/>
    <w:rsid w:val="0070578C"/>
    <w:rsid w:val="00710262"/>
    <w:rsid w:val="007132CA"/>
    <w:rsid w:val="0071447A"/>
    <w:rsid w:val="0072071E"/>
    <w:rsid w:val="00721115"/>
    <w:rsid w:val="00721CBD"/>
    <w:rsid w:val="007257BC"/>
    <w:rsid w:val="00726914"/>
    <w:rsid w:val="00727371"/>
    <w:rsid w:val="00727C9D"/>
    <w:rsid w:val="007310F2"/>
    <w:rsid w:val="00737E9F"/>
    <w:rsid w:val="007405A9"/>
    <w:rsid w:val="00746B7F"/>
    <w:rsid w:val="00747156"/>
    <w:rsid w:val="00751EBA"/>
    <w:rsid w:val="0075486E"/>
    <w:rsid w:val="00755298"/>
    <w:rsid w:val="00764A18"/>
    <w:rsid w:val="007703C3"/>
    <w:rsid w:val="00772E35"/>
    <w:rsid w:val="00773A38"/>
    <w:rsid w:val="00774844"/>
    <w:rsid w:val="007773A1"/>
    <w:rsid w:val="00777E7E"/>
    <w:rsid w:val="007833DA"/>
    <w:rsid w:val="007854BB"/>
    <w:rsid w:val="00791931"/>
    <w:rsid w:val="00795433"/>
    <w:rsid w:val="007A3DC2"/>
    <w:rsid w:val="007B06EC"/>
    <w:rsid w:val="007B347F"/>
    <w:rsid w:val="007B4864"/>
    <w:rsid w:val="007B4FE4"/>
    <w:rsid w:val="007C3E27"/>
    <w:rsid w:val="007C593E"/>
    <w:rsid w:val="007D359C"/>
    <w:rsid w:val="007D6BE9"/>
    <w:rsid w:val="007E3D07"/>
    <w:rsid w:val="007F1C13"/>
    <w:rsid w:val="007F2E2E"/>
    <w:rsid w:val="007F32E6"/>
    <w:rsid w:val="007F429F"/>
    <w:rsid w:val="007F49EC"/>
    <w:rsid w:val="007F5BF5"/>
    <w:rsid w:val="00802E00"/>
    <w:rsid w:val="00810AF3"/>
    <w:rsid w:val="008134BA"/>
    <w:rsid w:val="00814281"/>
    <w:rsid w:val="00814E71"/>
    <w:rsid w:val="00817954"/>
    <w:rsid w:val="008204EE"/>
    <w:rsid w:val="00823FB2"/>
    <w:rsid w:val="0083432C"/>
    <w:rsid w:val="0084096A"/>
    <w:rsid w:val="00843464"/>
    <w:rsid w:val="00846214"/>
    <w:rsid w:val="00847986"/>
    <w:rsid w:val="00854A00"/>
    <w:rsid w:val="008550B1"/>
    <w:rsid w:val="00857710"/>
    <w:rsid w:val="0087179B"/>
    <w:rsid w:val="00874942"/>
    <w:rsid w:val="00884281"/>
    <w:rsid w:val="0089007D"/>
    <w:rsid w:val="0089063E"/>
    <w:rsid w:val="00891A78"/>
    <w:rsid w:val="00896ECB"/>
    <w:rsid w:val="008A11D2"/>
    <w:rsid w:val="008A231B"/>
    <w:rsid w:val="008A6927"/>
    <w:rsid w:val="008A7921"/>
    <w:rsid w:val="008B4512"/>
    <w:rsid w:val="008B611C"/>
    <w:rsid w:val="008B75AF"/>
    <w:rsid w:val="008C04C9"/>
    <w:rsid w:val="008C0D4C"/>
    <w:rsid w:val="008C1365"/>
    <w:rsid w:val="008C6C22"/>
    <w:rsid w:val="008D684A"/>
    <w:rsid w:val="008E246F"/>
    <w:rsid w:val="008E24F9"/>
    <w:rsid w:val="008E468D"/>
    <w:rsid w:val="008E47F5"/>
    <w:rsid w:val="008F1932"/>
    <w:rsid w:val="008F3FA7"/>
    <w:rsid w:val="00901CE4"/>
    <w:rsid w:val="0091229C"/>
    <w:rsid w:val="00916B63"/>
    <w:rsid w:val="00917943"/>
    <w:rsid w:val="0092121B"/>
    <w:rsid w:val="00921BBD"/>
    <w:rsid w:val="009223F2"/>
    <w:rsid w:val="009234AF"/>
    <w:rsid w:val="00926031"/>
    <w:rsid w:val="009267D9"/>
    <w:rsid w:val="009325CC"/>
    <w:rsid w:val="00935AAC"/>
    <w:rsid w:val="009465A8"/>
    <w:rsid w:val="009512C0"/>
    <w:rsid w:val="00951452"/>
    <w:rsid w:val="00971C77"/>
    <w:rsid w:val="00973F4E"/>
    <w:rsid w:val="009771B1"/>
    <w:rsid w:val="00984967"/>
    <w:rsid w:val="00986485"/>
    <w:rsid w:val="009865D9"/>
    <w:rsid w:val="00987AB1"/>
    <w:rsid w:val="00992A44"/>
    <w:rsid w:val="009A1AEA"/>
    <w:rsid w:val="009A2109"/>
    <w:rsid w:val="009A5BE7"/>
    <w:rsid w:val="009A6F2C"/>
    <w:rsid w:val="009B0E1A"/>
    <w:rsid w:val="009B5DC4"/>
    <w:rsid w:val="009C3DC3"/>
    <w:rsid w:val="009C7C8B"/>
    <w:rsid w:val="009D170C"/>
    <w:rsid w:val="009D2107"/>
    <w:rsid w:val="009D3CB9"/>
    <w:rsid w:val="009D54E7"/>
    <w:rsid w:val="009D7ACB"/>
    <w:rsid w:val="009E3A8C"/>
    <w:rsid w:val="009E7A53"/>
    <w:rsid w:val="009F4865"/>
    <w:rsid w:val="009F74A6"/>
    <w:rsid w:val="00A032C1"/>
    <w:rsid w:val="00A038D2"/>
    <w:rsid w:val="00A03E36"/>
    <w:rsid w:val="00A068ED"/>
    <w:rsid w:val="00A20562"/>
    <w:rsid w:val="00A206BF"/>
    <w:rsid w:val="00A2575C"/>
    <w:rsid w:val="00A27ABE"/>
    <w:rsid w:val="00A30F8D"/>
    <w:rsid w:val="00A346C1"/>
    <w:rsid w:val="00A40664"/>
    <w:rsid w:val="00A40F64"/>
    <w:rsid w:val="00A46957"/>
    <w:rsid w:val="00A518B7"/>
    <w:rsid w:val="00A519AB"/>
    <w:rsid w:val="00A57BA5"/>
    <w:rsid w:val="00A57CB9"/>
    <w:rsid w:val="00A605E8"/>
    <w:rsid w:val="00A618FB"/>
    <w:rsid w:val="00A66637"/>
    <w:rsid w:val="00A70CB4"/>
    <w:rsid w:val="00A72FF7"/>
    <w:rsid w:val="00A764F3"/>
    <w:rsid w:val="00A935B3"/>
    <w:rsid w:val="00A944E7"/>
    <w:rsid w:val="00A95554"/>
    <w:rsid w:val="00A964E9"/>
    <w:rsid w:val="00AB6A96"/>
    <w:rsid w:val="00AC0E76"/>
    <w:rsid w:val="00AC560E"/>
    <w:rsid w:val="00AC7079"/>
    <w:rsid w:val="00AD5393"/>
    <w:rsid w:val="00AE0BE8"/>
    <w:rsid w:val="00AF1536"/>
    <w:rsid w:val="00B101D6"/>
    <w:rsid w:val="00B12AC2"/>
    <w:rsid w:val="00B21C5E"/>
    <w:rsid w:val="00B24051"/>
    <w:rsid w:val="00B25128"/>
    <w:rsid w:val="00B30023"/>
    <w:rsid w:val="00B333C7"/>
    <w:rsid w:val="00B33B99"/>
    <w:rsid w:val="00B34956"/>
    <w:rsid w:val="00B40304"/>
    <w:rsid w:val="00B4458E"/>
    <w:rsid w:val="00B44C24"/>
    <w:rsid w:val="00B5230C"/>
    <w:rsid w:val="00B543DD"/>
    <w:rsid w:val="00B56D91"/>
    <w:rsid w:val="00B57BF9"/>
    <w:rsid w:val="00B60DEC"/>
    <w:rsid w:val="00B65C9E"/>
    <w:rsid w:val="00B73B23"/>
    <w:rsid w:val="00B7516C"/>
    <w:rsid w:val="00B75950"/>
    <w:rsid w:val="00B76BF0"/>
    <w:rsid w:val="00B76F45"/>
    <w:rsid w:val="00B805BD"/>
    <w:rsid w:val="00B82146"/>
    <w:rsid w:val="00B8453B"/>
    <w:rsid w:val="00B86681"/>
    <w:rsid w:val="00BB11B9"/>
    <w:rsid w:val="00BB4F31"/>
    <w:rsid w:val="00BB5BDE"/>
    <w:rsid w:val="00BB61CB"/>
    <w:rsid w:val="00BB63E4"/>
    <w:rsid w:val="00BC21D5"/>
    <w:rsid w:val="00BC4D73"/>
    <w:rsid w:val="00BC52C4"/>
    <w:rsid w:val="00BD036E"/>
    <w:rsid w:val="00BD2C80"/>
    <w:rsid w:val="00BD318A"/>
    <w:rsid w:val="00BD37DD"/>
    <w:rsid w:val="00BE1C4E"/>
    <w:rsid w:val="00BE4372"/>
    <w:rsid w:val="00BE4E7A"/>
    <w:rsid w:val="00BE5441"/>
    <w:rsid w:val="00BE6DB2"/>
    <w:rsid w:val="00BF07F8"/>
    <w:rsid w:val="00BF20F9"/>
    <w:rsid w:val="00BF2A04"/>
    <w:rsid w:val="00BF7247"/>
    <w:rsid w:val="00C0696F"/>
    <w:rsid w:val="00C07CE3"/>
    <w:rsid w:val="00C12E67"/>
    <w:rsid w:val="00C139BA"/>
    <w:rsid w:val="00C1617D"/>
    <w:rsid w:val="00C235F9"/>
    <w:rsid w:val="00C23DD5"/>
    <w:rsid w:val="00C248F5"/>
    <w:rsid w:val="00C25832"/>
    <w:rsid w:val="00C26632"/>
    <w:rsid w:val="00C3270F"/>
    <w:rsid w:val="00C347B1"/>
    <w:rsid w:val="00C40C6F"/>
    <w:rsid w:val="00C45B49"/>
    <w:rsid w:val="00C55586"/>
    <w:rsid w:val="00C557B8"/>
    <w:rsid w:val="00C60CAF"/>
    <w:rsid w:val="00C6154E"/>
    <w:rsid w:val="00C62186"/>
    <w:rsid w:val="00C72902"/>
    <w:rsid w:val="00C73EA8"/>
    <w:rsid w:val="00C7580F"/>
    <w:rsid w:val="00C7614A"/>
    <w:rsid w:val="00C77257"/>
    <w:rsid w:val="00C8445D"/>
    <w:rsid w:val="00C871B9"/>
    <w:rsid w:val="00C930FA"/>
    <w:rsid w:val="00C94D35"/>
    <w:rsid w:val="00C94F27"/>
    <w:rsid w:val="00CA37A3"/>
    <w:rsid w:val="00CA3C60"/>
    <w:rsid w:val="00CB6CB3"/>
    <w:rsid w:val="00CB77B1"/>
    <w:rsid w:val="00CC1F15"/>
    <w:rsid w:val="00CC300D"/>
    <w:rsid w:val="00CD18F1"/>
    <w:rsid w:val="00CD2F09"/>
    <w:rsid w:val="00CD7299"/>
    <w:rsid w:val="00CE2D7E"/>
    <w:rsid w:val="00CE44B3"/>
    <w:rsid w:val="00CE6842"/>
    <w:rsid w:val="00CE7916"/>
    <w:rsid w:val="00CF417E"/>
    <w:rsid w:val="00CF5D35"/>
    <w:rsid w:val="00CF6B88"/>
    <w:rsid w:val="00D005F4"/>
    <w:rsid w:val="00D03D38"/>
    <w:rsid w:val="00D05A54"/>
    <w:rsid w:val="00D12338"/>
    <w:rsid w:val="00D20664"/>
    <w:rsid w:val="00D23A87"/>
    <w:rsid w:val="00D250C8"/>
    <w:rsid w:val="00D3063A"/>
    <w:rsid w:val="00D31D51"/>
    <w:rsid w:val="00D333CB"/>
    <w:rsid w:val="00D369E3"/>
    <w:rsid w:val="00D448A9"/>
    <w:rsid w:val="00D504C4"/>
    <w:rsid w:val="00D50F0A"/>
    <w:rsid w:val="00D52B2A"/>
    <w:rsid w:val="00D55BE8"/>
    <w:rsid w:val="00D602C4"/>
    <w:rsid w:val="00D60419"/>
    <w:rsid w:val="00D60F4C"/>
    <w:rsid w:val="00D6103B"/>
    <w:rsid w:val="00D6147F"/>
    <w:rsid w:val="00D63DA2"/>
    <w:rsid w:val="00D75A6C"/>
    <w:rsid w:val="00D80025"/>
    <w:rsid w:val="00D82420"/>
    <w:rsid w:val="00D9043C"/>
    <w:rsid w:val="00D9182E"/>
    <w:rsid w:val="00D97FAF"/>
    <w:rsid w:val="00DA0320"/>
    <w:rsid w:val="00DA0C84"/>
    <w:rsid w:val="00DA0D76"/>
    <w:rsid w:val="00DA2196"/>
    <w:rsid w:val="00DA2E13"/>
    <w:rsid w:val="00DA7C32"/>
    <w:rsid w:val="00DA7C49"/>
    <w:rsid w:val="00DB0195"/>
    <w:rsid w:val="00DB3778"/>
    <w:rsid w:val="00DB60B5"/>
    <w:rsid w:val="00DC2B93"/>
    <w:rsid w:val="00DC7040"/>
    <w:rsid w:val="00DD37D6"/>
    <w:rsid w:val="00DD5BF5"/>
    <w:rsid w:val="00DE2DB2"/>
    <w:rsid w:val="00DE30B0"/>
    <w:rsid w:val="00E012E7"/>
    <w:rsid w:val="00E0451F"/>
    <w:rsid w:val="00E130B2"/>
    <w:rsid w:val="00E1355D"/>
    <w:rsid w:val="00E1597A"/>
    <w:rsid w:val="00E21B82"/>
    <w:rsid w:val="00E23A78"/>
    <w:rsid w:val="00E24CDD"/>
    <w:rsid w:val="00E31BC5"/>
    <w:rsid w:val="00E356D8"/>
    <w:rsid w:val="00E36C68"/>
    <w:rsid w:val="00E43538"/>
    <w:rsid w:val="00E47AAB"/>
    <w:rsid w:val="00E55DDE"/>
    <w:rsid w:val="00E65AA2"/>
    <w:rsid w:val="00E7771D"/>
    <w:rsid w:val="00E8109C"/>
    <w:rsid w:val="00E94CE7"/>
    <w:rsid w:val="00E9793B"/>
    <w:rsid w:val="00EA11BD"/>
    <w:rsid w:val="00EA3411"/>
    <w:rsid w:val="00EA6567"/>
    <w:rsid w:val="00EA732A"/>
    <w:rsid w:val="00EB0A8D"/>
    <w:rsid w:val="00EB3233"/>
    <w:rsid w:val="00EB3ADE"/>
    <w:rsid w:val="00EB4093"/>
    <w:rsid w:val="00EB78CE"/>
    <w:rsid w:val="00EC19AF"/>
    <w:rsid w:val="00EC2E0A"/>
    <w:rsid w:val="00EC2E23"/>
    <w:rsid w:val="00EC41C3"/>
    <w:rsid w:val="00EC5503"/>
    <w:rsid w:val="00EC70FF"/>
    <w:rsid w:val="00ED5333"/>
    <w:rsid w:val="00ED57D4"/>
    <w:rsid w:val="00EF0E3F"/>
    <w:rsid w:val="00F02206"/>
    <w:rsid w:val="00F05B7B"/>
    <w:rsid w:val="00F07A32"/>
    <w:rsid w:val="00F131BE"/>
    <w:rsid w:val="00F13DA6"/>
    <w:rsid w:val="00F13DAC"/>
    <w:rsid w:val="00F15225"/>
    <w:rsid w:val="00F1598E"/>
    <w:rsid w:val="00F17274"/>
    <w:rsid w:val="00F179F6"/>
    <w:rsid w:val="00F209A6"/>
    <w:rsid w:val="00F214BE"/>
    <w:rsid w:val="00F227D7"/>
    <w:rsid w:val="00F22E47"/>
    <w:rsid w:val="00F26A51"/>
    <w:rsid w:val="00F279F7"/>
    <w:rsid w:val="00F30C3C"/>
    <w:rsid w:val="00F370F3"/>
    <w:rsid w:val="00F37658"/>
    <w:rsid w:val="00F406F9"/>
    <w:rsid w:val="00F44864"/>
    <w:rsid w:val="00F50EC0"/>
    <w:rsid w:val="00F52614"/>
    <w:rsid w:val="00F54EDF"/>
    <w:rsid w:val="00F62DB8"/>
    <w:rsid w:val="00F63F03"/>
    <w:rsid w:val="00F6425D"/>
    <w:rsid w:val="00F71044"/>
    <w:rsid w:val="00F763E0"/>
    <w:rsid w:val="00F81BAB"/>
    <w:rsid w:val="00F93DD8"/>
    <w:rsid w:val="00F96E6D"/>
    <w:rsid w:val="00FA0B21"/>
    <w:rsid w:val="00FB5047"/>
    <w:rsid w:val="00FB6E6A"/>
    <w:rsid w:val="00FC0383"/>
    <w:rsid w:val="00FC08F5"/>
    <w:rsid w:val="00FC12E8"/>
    <w:rsid w:val="00FC6867"/>
    <w:rsid w:val="00FD0142"/>
    <w:rsid w:val="00FD46C0"/>
    <w:rsid w:val="00FE37C1"/>
    <w:rsid w:val="00FE4063"/>
    <w:rsid w:val="00FE5059"/>
    <w:rsid w:val="00FF4139"/>
    <w:rsid w:val="00FF53EE"/>
    <w:rsid w:val="00FF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A40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5B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45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5B49"/>
  </w:style>
  <w:style w:type="paragraph" w:styleId="a6">
    <w:name w:val="No Spacing"/>
    <w:uiPriority w:val="1"/>
    <w:qFormat/>
    <w:rsid w:val="00B76F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Body Text Indent"/>
    <w:basedOn w:val="a"/>
    <w:link w:val="a8"/>
    <w:rsid w:val="00B76F45"/>
    <w:pPr>
      <w:ind w:left="-180"/>
      <w:jc w:val="both"/>
    </w:pPr>
  </w:style>
  <w:style w:type="character" w:customStyle="1" w:styleId="a8">
    <w:name w:val="Основной текст с отступом Знак"/>
    <w:basedOn w:val="a0"/>
    <w:link w:val="a7"/>
    <w:rsid w:val="00B76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A4E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0001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0001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00014B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ED5333"/>
    <w:rPr>
      <w:rFonts w:ascii="Arial" w:eastAsia="Times New Roman" w:hAnsi="Arial" w:cs="Arial"/>
      <w:lang w:val="ru-RU" w:eastAsia="ru-RU" w:bidi="ar-SA"/>
    </w:rPr>
  </w:style>
  <w:style w:type="table" w:styleId="aa">
    <w:name w:val="Table Grid"/>
    <w:basedOn w:val="a1"/>
    <w:uiPriority w:val="59"/>
    <w:rsid w:val="00ED53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8E24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246F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577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7710"/>
    <w:rPr>
      <w:rFonts w:ascii="Times New Roman" w:eastAsia="Times New Roman" w:hAnsi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357FAF"/>
  </w:style>
  <w:style w:type="paragraph" w:styleId="ad">
    <w:name w:val="Body Text"/>
    <w:basedOn w:val="a"/>
    <w:link w:val="ae"/>
    <w:unhideWhenUsed/>
    <w:rsid w:val="00357F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57FAF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357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6C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8C6C22"/>
    <w:rPr>
      <w:color w:val="0000FF"/>
      <w:u w:val="single"/>
    </w:rPr>
  </w:style>
  <w:style w:type="paragraph" w:styleId="af0">
    <w:name w:val="Title"/>
    <w:basedOn w:val="a"/>
    <w:link w:val="af1"/>
    <w:qFormat/>
    <w:rsid w:val="003B4236"/>
    <w:pPr>
      <w:jc w:val="center"/>
    </w:pPr>
    <w:rPr>
      <w:sz w:val="44"/>
    </w:rPr>
  </w:style>
  <w:style w:type="character" w:customStyle="1" w:styleId="af1">
    <w:name w:val="Название Знак"/>
    <w:basedOn w:val="a0"/>
    <w:link w:val="af0"/>
    <w:rsid w:val="003B4236"/>
    <w:rPr>
      <w:rFonts w:ascii="Times New Roman" w:eastAsia="Times New Roman" w:hAnsi="Times New Roman"/>
      <w:sz w:val="4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B42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4236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A257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2575C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402B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1443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FDF40-AEC0-4B4A-A307-295AF994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Links>
    <vt:vector size="30" baseType="variant"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Par627</vt:lpwstr>
      </vt:variant>
      <vt:variant>
        <vt:i4>6488112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Par624</vt:lpwstr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Par718</vt:lpwstr>
      </vt:variant>
      <vt:variant>
        <vt:i4>7012402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Par208</vt:lpwstr>
      </vt:variant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consultantplus://offline/ref=1EBE7CE859F44CAF91CC07289F67C2CB17EA4454B960F06C22467BD3D8D1F4D4CBC8804E396FE0EDu3N7H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sidorenkova_em</dc:creator>
  <cp:lastModifiedBy>user</cp:lastModifiedBy>
  <cp:revision>4</cp:revision>
  <cp:lastPrinted>2021-12-14T06:04:00Z</cp:lastPrinted>
  <dcterms:created xsi:type="dcterms:W3CDTF">2022-11-18T07:22:00Z</dcterms:created>
  <dcterms:modified xsi:type="dcterms:W3CDTF">2024-11-08T11:19:00Z</dcterms:modified>
</cp:coreProperties>
</file>