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9B" w:rsidRPr="002E0EAF" w:rsidRDefault="002E0EAF" w:rsidP="00481E9B">
      <w:pPr>
        <w:pStyle w:val="ConsPlusTitle"/>
        <w:jc w:val="center"/>
        <w:rPr>
          <w:sz w:val="28"/>
          <w:szCs w:val="28"/>
        </w:rPr>
      </w:pPr>
      <w:bookmarkStart w:id="0" w:name="_GoBack"/>
      <w:bookmarkEnd w:id="0"/>
      <w:r>
        <w:rPr>
          <w:sz w:val="28"/>
          <w:szCs w:val="28"/>
        </w:rPr>
        <w:t xml:space="preserve">                                                                                        </w:t>
      </w:r>
      <w:r w:rsidR="00310A64" w:rsidRPr="002E0EAF">
        <w:rPr>
          <w:sz w:val="28"/>
          <w:szCs w:val="28"/>
        </w:rPr>
        <w:t>ПРОЕКТ</w:t>
      </w:r>
    </w:p>
    <w:p w:rsidR="002E0EAF" w:rsidRDefault="002E0EA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w:t>
      </w:r>
    </w:p>
    <w:p w:rsidR="002E0EAF" w:rsidRPr="002E0EAF" w:rsidRDefault="002E0EAF" w:rsidP="002E0EAF">
      <w:pPr>
        <w:widowControl w:val="0"/>
        <w:autoSpaceDE w:val="0"/>
        <w:ind w:firstLine="709"/>
        <w:contextualSpacing/>
        <w:jc w:val="center"/>
        <w:rPr>
          <w:rFonts w:ascii="Times New Roman" w:hAnsi="Times New Roman" w:cs="Times New Roman"/>
          <w:b/>
          <w:bCs/>
          <w:sz w:val="28"/>
          <w:szCs w:val="28"/>
        </w:rPr>
      </w:pPr>
      <w:r w:rsidRPr="002E0EAF">
        <w:rPr>
          <w:rFonts w:ascii="Times New Roman" w:hAnsi="Times New Roman" w:cs="Times New Roman"/>
          <w:b/>
          <w:bCs/>
          <w:sz w:val="28"/>
          <w:szCs w:val="28"/>
        </w:rPr>
        <w:t xml:space="preserve">     по </w:t>
      </w:r>
      <w:r w:rsidRPr="002E0EAF">
        <w:rPr>
          <w:rFonts w:ascii="Times New Roman" w:hAnsi="Times New Roman" w:cs="Times New Roman"/>
          <w:b/>
          <w:bCs/>
          <w:color w:val="000000"/>
          <w:sz w:val="28"/>
          <w:szCs w:val="28"/>
        </w:rPr>
        <w:t>предоставлению</w:t>
      </w:r>
      <w:r w:rsidRPr="002E0EAF">
        <w:rPr>
          <w:rFonts w:ascii="Times New Roman" w:hAnsi="Times New Roman" w:cs="Times New Roman"/>
          <w:b/>
          <w:bCs/>
          <w:sz w:val="28"/>
          <w:szCs w:val="28"/>
        </w:rPr>
        <w:t xml:space="preserve">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p>
    <w:p w:rsidR="000C0421" w:rsidRDefault="00586FE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sidR="00310A64">
        <w:rPr>
          <w:rFonts w:ascii="Times New Roman" w:eastAsia="Times New Roman" w:hAnsi="Times New Roman" w:cs="Times New Roman"/>
          <w:b/>
          <w:bCs/>
          <w:sz w:val="28"/>
          <w:szCs w:val="28"/>
          <w:lang w:eastAsia="ru-RU"/>
        </w:rPr>
        <w:t xml:space="preserve">Суховское сельское поселение Кировского муниципального района Ленинградской области, </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310A64">
        <w:rPr>
          <w:rFonts w:ascii="Times New Roman" w:eastAsia="Times New Roman" w:hAnsi="Times New Roman" w:cs="Times New Roman"/>
          <w:b/>
          <w:bCs/>
          <w:sz w:val="28"/>
          <w:szCs w:val="28"/>
          <w:lang w:eastAsia="ru-RU"/>
        </w:rPr>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310A64"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310A64">
        <w:rPr>
          <w:rFonts w:ascii="Times New Roman" w:hAnsi="Times New Roman" w:cs="Times New Roman"/>
          <w:sz w:val="28"/>
          <w:szCs w:val="28"/>
        </w:rPr>
        <w:t>Суховское сельское поселение Кировского муниципального района Ленинградской области</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310A64">
        <w:rPr>
          <w:rFonts w:ascii="Times New Roman" w:hAnsi="Times New Roman" w:cs="Times New Roman"/>
          <w:sz w:val="28"/>
          <w:szCs w:val="28"/>
        </w:rPr>
        <w:t>Суховское сельское поселение Кировского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310A6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310A6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310A64">
        <w:rPr>
          <w:rFonts w:ascii="Times New Roman" w:hAnsi="Times New Roman" w:cs="Times New Roman"/>
          <w:sz w:val="28"/>
          <w:szCs w:val="28"/>
        </w:rPr>
        <w:t xml:space="preserve"> </w:t>
      </w:r>
      <w:r w:rsidR="00532604" w:rsidRPr="00532604">
        <w:rPr>
          <w:rFonts w:ascii="Times New Roman" w:hAnsi="Times New Roman" w:cs="Times New Roman"/>
          <w:sz w:val="28"/>
          <w:szCs w:val="28"/>
        </w:rPr>
        <w:lastRenderedPageBreak/>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sidRPr="00310A64">
        <w:rPr>
          <w:rFonts w:ascii="Times New Roman" w:hAnsi="Times New Roman" w:cs="Times New Roman"/>
          <w:b/>
          <w:sz w:val="28"/>
          <w:szCs w:val="28"/>
        </w:rPr>
        <w:t>14 рабочих дней</w:t>
      </w:r>
      <w:r w:rsidR="00310A6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F11CF7">
        <w:rPr>
          <w:rFonts w:ascii="Times New Roman" w:hAnsi="Times New Roman" w:cs="Times New Roman"/>
          <w:sz w:val="28"/>
          <w:szCs w:val="28"/>
        </w:rPr>
        <w:lastRenderedPageBreak/>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310A6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w:t>
      </w:r>
      <w:r w:rsidRPr="00532604">
        <w:rPr>
          <w:rFonts w:ascii="Times New Roman" w:hAnsi="Times New Roman" w:cs="Times New Roman"/>
          <w:sz w:val="28"/>
          <w:szCs w:val="28"/>
        </w:rPr>
        <w:lastRenderedPageBreak/>
        <w:t>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310A64">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sidRPr="00766C14">
        <w:rPr>
          <w:rFonts w:ascii="Times New Roman" w:hAnsi="Times New Roman" w:cs="Times New Roman"/>
          <w:sz w:val="28"/>
          <w:szCs w:val="28"/>
        </w:rPr>
        <w:t>рабочих</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10A64">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310A64">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310A64">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310A64">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310A64">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310A64">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310A64">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310A64">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310A64">
        <w:rPr>
          <w:rFonts w:ascii="Times New Roman" w:hAnsi="Times New Roman" w:cs="Times New Roman"/>
          <w:sz w:val="28"/>
          <w:szCs w:val="28"/>
        </w:rPr>
        <w:t>е</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w:t>
      </w:r>
      <w:r w:rsidRPr="00D865DE">
        <w:rPr>
          <w:rFonts w:ascii="Times New Roman" w:hAnsi="Times New Roman" w:cs="Times New Roman"/>
          <w:sz w:val="28"/>
          <w:szCs w:val="28"/>
        </w:rPr>
        <w:lastRenderedPageBreak/>
        <w:t xml:space="preserve">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310A64">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310A64">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w:t>
      </w:r>
      <w:r w:rsidRPr="003C7DB5">
        <w:rPr>
          <w:rFonts w:ascii="Times New Roman" w:hAnsi="Times New Roman" w:cs="Times New Roman"/>
          <w:sz w:val="28"/>
          <w:szCs w:val="28"/>
        </w:rPr>
        <w:lastRenderedPageBreak/>
        <w:t>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00310A64">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F11CF7">
        <w:rPr>
          <w:rFonts w:ascii="Times New Roman" w:hAnsi="Times New Roman" w:cs="Times New Roman"/>
          <w:sz w:val="28"/>
          <w:szCs w:val="28"/>
        </w:rPr>
        <w:lastRenderedPageBreak/>
        <w:t>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10A64">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 xml:space="preserve">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F11CF7">
        <w:rPr>
          <w:rFonts w:ascii="Times New Roman" w:hAnsi="Times New Roman" w:cs="Times New Roman"/>
          <w:sz w:val="28"/>
          <w:szCs w:val="28"/>
        </w:rPr>
        <w:lastRenderedPageBreak/>
        <w:t>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10A64">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w:t>
      </w:r>
      <w:r w:rsidRPr="00F11CF7">
        <w:rPr>
          <w:rFonts w:ascii="Times New Roman" w:hAnsi="Times New Roman" w:cs="Times New Roman"/>
          <w:sz w:val="28"/>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DC77E7">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DC77E7">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5299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10A64" w:rsidRDefault="00310A64" w:rsidP="001B6E20">
                  <w:pPr>
                    <w:jc w:val="center"/>
                  </w:pPr>
                  <w:r>
                    <w:t xml:space="preserve">Ходатайство о </w:t>
                  </w:r>
                  <w:r w:rsidRPr="002A21C5">
                    <w:t>заключении соглашения об установлении сервитута</w:t>
                  </w:r>
                </w:p>
                <w:p w:rsidR="00310A64" w:rsidRDefault="00310A64"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5299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95299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95299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10A64" w:rsidRPr="00ED3062" w:rsidRDefault="00310A64"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10A64" w:rsidRDefault="00310A64" w:rsidP="001B6E20">
                  <w:pPr>
                    <w:jc w:val="center"/>
                  </w:pPr>
                  <w:r>
                    <w:t>ПГУ ЛО/</w:t>
                  </w:r>
                  <w:r w:rsidRPr="00893EA7">
                    <w:t>ЕПГУ</w:t>
                  </w:r>
                </w:p>
                <w:p w:rsidR="00310A64" w:rsidRDefault="00310A64"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10A64" w:rsidRDefault="00310A64" w:rsidP="001B6E20">
                  <w:pPr>
                    <w:jc w:val="center"/>
                  </w:pPr>
                  <w:r>
                    <w:t>МФЦ</w:t>
                  </w:r>
                </w:p>
                <w:p w:rsidR="00310A64" w:rsidRDefault="00310A64"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10A64" w:rsidRDefault="00310A64"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310A64" w:rsidRDefault="00310A6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310A64" w:rsidRDefault="00310A6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5299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10A64" w:rsidRDefault="00310A6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95299C">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10A64" w:rsidRDefault="00310A64" w:rsidP="001B6E20">
                  <w:pPr>
                    <w:jc w:val="center"/>
                  </w:pPr>
                  <w:r>
                    <w:t>Имеются предусмотренные п.2.10 основания для отказа в предоставлении муниципальной услуги</w:t>
                  </w:r>
                </w:p>
                <w:p w:rsidR="00310A64" w:rsidRDefault="00310A64"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95299C" w:rsidP="001B6E20">
      <w:r w:rsidRPr="0095299C">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95299C">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95299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10A64" w:rsidRDefault="00310A64" w:rsidP="001B6E20">
                  <w:pPr>
                    <w:jc w:val="center"/>
                  </w:pPr>
                  <w:r>
                    <w:t>Подготовка проекта решения о возврате ходатайства /решения об отказе в предоставлении муниципальной услуги</w:t>
                  </w:r>
                </w:p>
                <w:p w:rsidR="00310A64" w:rsidRDefault="00310A64"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10A64" w:rsidRDefault="00310A64" w:rsidP="001B6E20">
                  <w:pPr>
                    <w:jc w:val="center"/>
                  </w:pPr>
                  <w:r w:rsidRPr="004F1FCB">
                    <w:t>Подготовка проекта р</w:t>
                  </w:r>
                  <w:r>
                    <w:t>ешения</w:t>
                  </w:r>
                  <w:r w:rsidRPr="004F1FCB">
                    <w:t xml:space="preserve"> о</w:t>
                  </w:r>
                  <w:r>
                    <w:t>б</w:t>
                  </w:r>
                </w:p>
                <w:p w:rsidR="00310A64" w:rsidRDefault="00310A64" w:rsidP="001B6E20">
                  <w:pPr>
                    <w:jc w:val="center"/>
                  </w:pPr>
                  <w:r>
                    <w:t>установлении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95299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95299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95299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310A64" w:rsidRDefault="00310A6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95299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5299C">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95299C">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95299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5299C">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310A64" w:rsidRDefault="00310A6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95299C">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10A64" w:rsidRDefault="00310A64" w:rsidP="001B6E20">
                  <w:pPr>
                    <w:jc w:val="center"/>
                  </w:pPr>
                  <w:r>
                    <w:t xml:space="preserve">Решение об установлении </w:t>
                  </w:r>
                </w:p>
                <w:p w:rsidR="00310A64" w:rsidRDefault="00310A64"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95299C" w:rsidP="00586FEC">
      <w:pPr>
        <w:widowControl w:val="0"/>
        <w:shd w:val="clear" w:color="auto" w:fill="FFFFFF" w:themeFill="background1"/>
        <w:autoSpaceDE w:val="0"/>
        <w:autoSpaceDN w:val="0"/>
        <w:adjustRightInd w:val="0"/>
        <w:spacing w:after="0" w:line="240" w:lineRule="auto"/>
        <w:jc w:val="right"/>
        <w:outlineLvl w:val="1"/>
      </w:pPr>
      <w:r w:rsidRPr="0095299C">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10A64" w:rsidRPr="00AB490A" w:rsidRDefault="00310A64" w:rsidP="001B6E20">
                  <w:pPr>
                    <w:jc w:val="center"/>
                    <w:rPr>
                      <w:strike/>
                    </w:rPr>
                  </w:pPr>
                  <w:r>
                    <w:t xml:space="preserve">4.  Выдача результата предоставления муниципальной </w:t>
                  </w:r>
                  <w:r w:rsidRPr="00586FEC">
                    <w:t xml:space="preserve">услуги –1 </w:t>
                  </w:r>
                  <w:r>
                    <w:t xml:space="preserve">рабочий </w:t>
                  </w:r>
                  <w:r w:rsidRPr="00586FEC">
                    <w:t>день</w:t>
                  </w:r>
                </w:p>
              </w:txbxContent>
            </v:textbox>
          </v:shape>
        </w:pict>
      </w:r>
      <w:r w:rsidRPr="0095299C">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95299C">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06" w:rsidRDefault="00020A06" w:rsidP="00327D48">
      <w:pPr>
        <w:spacing w:after="0" w:line="240" w:lineRule="auto"/>
      </w:pPr>
      <w:r>
        <w:separator/>
      </w:r>
    </w:p>
  </w:endnote>
  <w:endnote w:type="continuationSeparator" w:id="1">
    <w:p w:rsidR="00020A06" w:rsidRDefault="00020A0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06" w:rsidRDefault="00020A06" w:rsidP="00327D48">
      <w:pPr>
        <w:spacing w:after="0" w:line="240" w:lineRule="auto"/>
      </w:pPr>
      <w:r>
        <w:separator/>
      </w:r>
    </w:p>
  </w:footnote>
  <w:footnote w:type="continuationSeparator" w:id="1">
    <w:p w:rsidR="00020A06" w:rsidRDefault="00020A0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10A64" w:rsidRDefault="00310A64">
        <w:pPr>
          <w:pStyle w:val="a3"/>
          <w:jc w:val="center"/>
        </w:pPr>
        <w:fldSimple w:instr="PAGE   \* MERGEFORMAT">
          <w:r w:rsidR="002E0EAF">
            <w:rPr>
              <w:noProof/>
            </w:rPr>
            <w:t>25</w:t>
          </w:r>
        </w:fldSimple>
      </w:p>
    </w:sdtContent>
  </w:sdt>
  <w:p w:rsidR="00310A64" w:rsidRDefault="00310A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0A06"/>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0EAF"/>
    <w:rsid w:val="002E786B"/>
    <w:rsid w:val="002F0F5B"/>
    <w:rsid w:val="003012EB"/>
    <w:rsid w:val="003031A1"/>
    <w:rsid w:val="00310A64"/>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299C"/>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 id="V:Rule18" type="connector" idref="#Прямая со стрелкой 58"/>
        <o:r id="V:Rule19"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4536-EC5E-4A1A-BFFA-6901D0FD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10667</Words>
  <Characters>60806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2019-01-24T08:54:00Z</dcterms:created>
  <dcterms:modified xsi:type="dcterms:W3CDTF">2019-03-04T08:45:00Z</dcterms:modified>
</cp:coreProperties>
</file>